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9"/>
        <w:rPr>
          <w:rFonts w:hint="eastAsia" w:ascii="微软雅黑" w:hAnsi="微软雅黑" w:eastAsia="微软雅黑" w:cs="微软雅黑"/>
          <w:b/>
          <w:bCs/>
          <w:sz w:val="72"/>
          <w:szCs w:val="72"/>
          <w:highlight w:val="none"/>
          <w:lang w:val="en-US" w:eastAsia="zh-CN"/>
        </w:rPr>
      </w:pPr>
    </w:p>
    <w:p>
      <w:pPr>
        <w:jc w:val="center"/>
        <w:outlineLvl w:val="9"/>
        <w:rPr>
          <w:rFonts w:hint="eastAsia" w:ascii="微软雅黑" w:hAnsi="微软雅黑" w:eastAsia="微软雅黑" w:cs="微软雅黑"/>
          <w:b/>
          <w:bCs/>
          <w:sz w:val="72"/>
          <w:szCs w:val="7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72"/>
          <w:highlight w:val="none"/>
          <w:lang w:val="en-US" w:eastAsia="zh-CN"/>
        </w:rPr>
        <w:t>DN-SERVER</w:t>
      </w:r>
    </w:p>
    <w:p>
      <w:pPr>
        <w:pStyle w:val="2"/>
        <w:ind w:firstLine="2241" w:firstLineChars="400"/>
        <w:rPr>
          <w:rFonts w:hint="eastAsia" w:ascii="微软雅黑" w:hAnsi="微软雅黑" w:eastAsia="微软雅黑" w:cs="微软雅黑"/>
          <w:b/>
          <w:bCs/>
          <w:color w:val="auto"/>
          <w:kern w:val="2"/>
          <w:sz w:val="72"/>
          <w:szCs w:val="72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56"/>
          <w:szCs w:val="56"/>
          <w:highlight w:val="none"/>
          <w:lang w:val="en-US" w:eastAsia="zh-CN" w:bidi="ar-SA"/>
        </w:rPr>
        <w:t>可视化系统管理中心</w:t>
      </w:r>
    </w:p>
    <w:p>
      <w:pPr>
        <w:jc w:val="center"/>
        <w:outlineLvl w:val="9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用</w:t>
      </w:r>
    </w:p>
    <w:p>
      <w:pPr>
        <w:jc w:val="center"/>
        <w:outlineLvl w:val="9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户</w:t>
      </w:r>
    </w:p>
    <w:p>
      <w:pPr>
        <w:jc w:val="center"/>
        <w:outlineLvl w:val="9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手</w:t>
      </w:r>
    </w:p>
    <w:p>
      <w:pPr>
        <w:jc w:val="center"/>
        <w:outlineLvl w:val="9"/>
        <w:rPr>
          <w:rFonts w:hint="default" w:ascii="微软雅黑" w:hAnsi="微软雅黑" w:eastAsia="微软雅黑"/>
          <w:b w:val="0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册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36"/>
          <w:szCs w:val="36"/>
          <w:highlight w:val="none"/>
          <w:vertAlign w:val="subscript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sz w:val="36"/>
          <w:szCs w:val="36"/>
          <w:highlight w:val="none"/>
          <w:vertAlign w:val="subscript"/>
        </w:rPr>
      </w:pPr>
      <w:r>
        <w:rPr>
          <w:rFonts w:hint="eastAsia" w:ascii="微软雅黑" w:hAnsi="微软雅黑" w:eastAsia="微软雅黑" w:cs="微软雅黑"/>
          <w:sz w:val="36"/>
          <w:szCs w:val="36"/>
          <w:highlight w:val="none"/>
          <w:vertAlign w:val="subscript"/>
        </w:rPr>
        <w:t>V</w:t>
      </w:r>
      <w:r>
        <w:rPr>
          <w:rFonts w:ascii="微软雅黑" w:hAnsi="微软雅黑" w:eastAsia="微软雅黑" w:cs="微软雅黑"/>
          <w:sz w:val="36"/>
          <w:szCs w:val="36"/>
          <w:highlight w:val="none"/>
          <w:vertAlign w:val="subscript"/>
        </w:rPr>
        <w:t>1.0</w:t>
      </w:r>
    </w:p>
    <w:p>
      <w:pPr>
        <w:pStyle w:val="2"/>
      </w:pPr>
      <w:bookmarkStart w:id="6" w:name="_GoBack"/>
      <w:bookmarkEnd w:id="6"/>
    </w:p>
    <w:p>
      <w:pPr>
        <w:pStyle w:val="2"/>
      </w:pPr>
    </w:p>
    <w:p>
      <w:pPr>
        <w:pStyle w:val="2"/>
      </w:pPr>
    </w:p>
    <w:p>
      <w:pPr>
        <w:tabs>
          <w:tab w:val="left" w:pos="2985"/>
          <w:tab w:val="center" w:pos="5201"/>
        </w:tabs>
        <w:spacing w:line="260" w:lineRule="atLeast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上海大因多媒体技术有限公司</w:t>
      </w:r>
    </w:p>
    <w:sdt>
      <w:sdtPr>
        <w:rPr>
          <w:rFonts w:hint="eastAsia" w:ascii="微软雅黑" w:hAnsi="微软雅黑" w:eastAsia="微软雅黑" w:cs="微软雅黑"/>
          <w:kern w:val="2"/>
          <w:sz w:val="40"/>
          <w:szCs w:val="40"/>
          <w:lang w:val="en-US" w:eastAsia="zh-CN" w:bidi="ar-SA"/>
        </w:rPr>
        <w:id w:val="147472213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Times New Roman" w:eastAsia="宋体" w:cs="宋体"/>
          <w:color w:val="000000"/>
          <w:kern w:val="2"/>
          <w:sz w:val="24"/>
          <w:szCs w:val="24"/>
          <w:lang w:val="en-US" w:eastAsia="zh-CN" w:bidi="ar-SA"/>
        </w:rPr>
      </w:sdtEndPr>
      <w:sdtContent>
        <w:p>
          <w:pPr>
            <w:jc w:val="center"/>
            <w:rPr>
              <w:rFonts w:hint="eastAsia" w:ascii="微软雅黑" w:hAnsi="微软雅黑" w:eastAsia="微软雅黑" w:cs="微软雅黑"/>
              <w:sz w:val="40"/>
              <w:szCs w:val="40"/>
              <w:lang w:val="en-US"/>
            </w:rPr>
          </w:pPr>
          <w:r>
            <w:rPr>
              <w:rFonts w:hint="eastAsia" w:ascii="微软雅黑" w:hAnsi="微软雅黑" w:eastAsia="微软雅黑" w:cs="微软雅黑"/>
              <w:kern w:val="2"/>
              <w:sz w:val="40"/>
              <w:szCs w:val="40"/>
              <w:lang w:val="en-US" w:eastAsia="zh-CN" w:bidi="ar-SA"/>
            </w:rPr>
            <w:t>目录</w:t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_Toc19345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kern w:val="2"/>
              <w:sz w:val="24"/>
              <w:szCs w:val="24"/>
              <w:lang w:val="en-US" w:eastAsia="zh-CN" w:bidi="ar-SA"/>
            </w:rPr>
            <w:t>一、前言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_Toc19345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3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_Toc18570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kern w:val="2"/>
              <w:sz w:val="24"/>
              <w:szCs w:val="24"/>
              <w:lang w:val="en-US" w:eastAsia="zh-CN" w:bidi="ar-SA"/>
            </w:rPr>
            <w:t>1.1产品特点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_Toc18570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3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_Toc11141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kern w:val="2"/>
              <w:sz w:val="24"/>
              <w:szCs w:val="24"/>
              <w:lang w:val="en-US" w:eastAsia="zh-CN" w:bidi="ar-SA"/>
            </w:rPr>
            <w:t>二、包装内容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_Toc11141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4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_Toc32721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kern w:val="2"/>
              <w:sz w:val="24"/>
              <w:szCs w:val="24"/>
              <w:lang w:val="en-US" w:eastAsia="zh-CN" w:bidi="ar-SA"/>
            </w:rPr>
            <w:t>三、前后面板介绍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_Toc32721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4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_Toc10850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 w:val="24"/>
              <w:szCs w:val="24"/>
            </w:rPr>
            <w:t>四、产品规格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_Toc10850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5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2"/>
          </w:pPr>
          <w:r>
            <w:fldChar w:fldCharType="end"/>
          </w:r>
        </w:p>
      </w:sdtContent>
    </w:sdt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260" w:lineRule="atLeast"/>
        <w:jc w:val="left"/>
        <w:outlineLvl w:val="1"/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</w:pPr>
      <w:bookmarkStart w:id="0" w:name="_Toc19345"/>
      <w:bookmarkStart w:id="1" w:name="_Toc32462"/>
      <w:r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  <w:t>一、前言</w:t>
      </w:r>
      <w:bookmarkEnd w:id="0"/>
      <w:bookmarkEnd w:id="1"/>
    </w:p>
    <w:p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ascii="微软雅黑" w:hAnsi="微软雅黑"/>
        </w:rPr>
      </w:pPr>
      <w:r>
        <w:rPr>
          <w:rFonts w:hint="eastAsia" w:ascii="微软雅黑" w:hAnsi="微软雅黑"/>
          <w:sz w:val="24"/>
          <w:szCs w:val="24"/>
          <w:lang w:val="en-US"/>
        </w:rPr>
        <w:t>DN-SERVER利用10GbE以太网技术实时对视频、音频、以太网和其他控制信号进行矩阵切换、延伸以及分配，分辨率达4K/60p4:4:4HDR(超高清）。内部包含H.265&amp;H.264两种高清音视频编码功能，是一款专业的高清音视频编码产品。该编码器同时支持H.265/H.264两种高清数字视频压缩技术，具备稳定可靠、高清晰度、低码率、低延伸等特点。高清的HDMI视频信号，进行编码处理，经过DSP芯片压缩处理，输出标准的TS网络流，可根据不同需要设置每一路的输出码流分辨率，该设备具有高集成，H.265 HDMI(定制B版本能达到60帧H264或者H265的高速节目录制）高清编码器可广泛应用于各种数字电视播出系统中。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360" w:lineRule="auto"/>
        <w:ind w:leftChars="0"/>
        <w:textAlignment w:val="auto"/>
        <w:outlineLvl w:val="2"/>
        <w:rPr>
          <w:rFonts w:hint="eastAsia" w:ascii="微软雅黑" w:hAnsi="微软雅黑" w:eastAsia="微软雅黑" w:cs="微软雅黑"/>
          <w:b/>
          <w:bCs/>
          <w:kern w:val="2"/>
          <w:sz w:val="30"/>
          <w:szCs w:val="30"/>
          <w:lang w:val="en-US" w:eastAsia="zh-CN" w:bidi="ar-SA"/>
        </w:rPr>
      </w:pPr>
      <w:bookmarkStart w:id="2" w:name="_Toc18570"/>
      <w:r>
        <w:rPr>
          <w:rFonts w:hint="eastAsia" w:ascii="微软雅黑" w:hAnsi="微软雅黑" w:eastAsia="微软雅黑" w:cs="微软雅黑"/>
          <w:b/>
          <w:bCs/>
          <w:kern w:val="2"/>
          <w:sz w:val="30"/>
          <w:szCs w:val="30"/>
          <w:lang w:val="en-US" w:eastAsia="zh-CN" w:bidi="ar-SA"/>
        </w:rPr>
        <w:t>1.1产品特点</w:t>
      </w:r>
      <w:bookmarkEnd w:id="2"/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音视频信号支持以太网口或光纤口进行传输，光口采用SFP+接口；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使用现成的10GbE网络交换机路由AV信号；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快速无缝的HDMI信号转换，分辨率高达4K/60p(8BIT 4:4:4)以4K/60p (10BIT 4:2:2)及HDR；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远优于现有的基于IP网络的视频产品：无画面延迟、无压缩、无伪影；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支持HDMI2.0a、HDCP2.2;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具有视频缩放功能，广播级的缩放质量支持VGA到4K/60的多种分辨率；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使用单独CAT7线缆，最大范围可达100米（328英尺）； 8、使用10GbE光缆，最大范围可达30公里；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接口机支持点对点，点对多，多对点，多对多等节点应用；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4K/60HZ 数据带宽大约6—8Gbps，1080P/60大约1.48Gbps；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编码支持分辨率：包含1920*1080/60HZ(1080P) - 最小-800*600 分辨率和帧速；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支持H.265/H.264视频压缩格式，三码流；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支持TS/HLS/RTSP/ONVIF；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音频编码支持PCM无损高音质编码；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支持ONVIF协议，支持蓝光高清；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支持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路主码流2路子码流；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支持多人同时接入，音频可选；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480×235×44mm1U标准机箱，更节省你的宝贵的机柜空间。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360" w:lineRule="auto"/>
        <w:ind w:left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</w:pPr>
      <w:bookmarkStart w:id="3" w:name="_Toc11141"/>
      <w:r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  <w:t>包装内容</w:t>
      </w:r>
      <w:bookmarkEnd w:id="3"/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一台服务器。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一条电源线。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  <w:t>操作手册、合格证、保修卡各一份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1"/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</w:pPr>
      <w:bookmarkStart w:id="4" w:name="_Toc32721"/>
      <w:r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  <w:t>三、前后面板介绍</w:t>
      </w:r>
      <w:bookmarkEnd w:id="4"/>
    </w:p>
    <w:p>
      <w:pPr>
        <w:pStyle w:val="2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sz w:val="36"/>
          <w:szCs w:val="36"/>
        </w:rPr>
        <w:drawing>
          <wp:inline distT="0" distB="0" distL="0" distR="0">
            <wp:extent cx="5514340" cy="1064895"/>
            <wp:effectExtent l="0" t="0" r="635" b="1905"/>
            <wp:docPr id="1" name="图片 7" descr="回显服务器前后面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回显服务器前后面板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098" cy="106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POWER：电源LED状态指示灯。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STATUS：10G FIBER（10 LAN)正常连接LED状态指示灯。</w:t>
      </w:r>
    </w:p>
    <w:p>
      <w:pPr>
        <w:numPr>
          <w:ilvl w:val="0"/>
          <w:numId w:val="1"/>
        </w:numPr>
        <w:spacing w:before="81" w:line="500" w:lineRule="exact"/>
        <w:ind w:left="420" w:leftChars="0" w:hanging="420" w:firstLineChars="0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RJ45 out：Ip设置千兆网口。</w:t>
      </w:r>
    </w:p>
    <w:p>
      <w:pPr>
        <w:numPr>
          <w:ilvl w:val="0"/>
          <w:numId w:val="1"/>
        </w:numPr>
        <w:spacing w:before="81" w:line="500" w:lineRule="exact"/>
        <w:ind w:left="420" w:leftChars="0" w:hanging="420" w:firstLineChars="0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10G : 光纤模块插入口。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电源接口：AC 100-240V。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left"/>
        <w:textAlignment w:val="auto"/>
        <w:outlineLvl w:val="1"/>
        <w:rPr>
          <w:rFonts w:ascii="微软雅黑" w:hAnsi="微软雅黑" w:eastAsia="微软雅黑" w:cs="微软雅黑"/>
          <w:b/>
          <w:bCs/>
          <w:sz w:val="36"/>
          <w:szCs w:val="36"/>
        </w:rPr>
      </w:pPr>
      <w:bookmarkStart w:id="5" w:name="_Toc10850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四、产品规格</w:t>
      </w:r>
      <w:bookmarkEnd w:id="5"/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5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500" w:type="dxa"/>
            <w:gridSpan w:val="2"/>
            <w:tcBorders>
              <w:top w:val="nil"/>
              <w:bottom w:val="nil"/>
              <w:right w:val="nil"/>
            </w:tcBorders>
            <w:shd w:val="clear" w:color="auto" w:fill="BEBEBE" w:themeFill="background1" w:themeFillShade="BF"/>
            <w:vAlign w:val="center"/>
          </w:tcPr>
          <w:p>
            <w:pPr>
              <w:pStyle w:val="34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视频格式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tcBorders>
              <w:top w:val="nil"/>
            </w:tcBorders>
            <w:vAlign w:val="center"/>
          </w:tcPr>
          <w:p>
            <w:pPr>
              <w:pStyle w:val="34"/>
              <w:spacing w:line="360" w:lineRule="exact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最大像素时钟频率</w:t>
            </w:r>
          </w:p>
        </w:tc>
        <w:tc>
          <w:tcPr>
            <w:tcW w:w="5049" w:type="dxa"/>
            <w:tcBorders>
              <w:top w:val="nil"/>
            </w:tcBorders>
            <w:vAlign w:val="center"/>
          </w:tcPr>
          <w:p>
            <w:pPr>
              <w:pStyle w:val="34"/>
              <w:ind w:firstLine="100" w:firstLineChars="5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支持的像素时钟率达596MHZ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vAlign w:val="center"/>
          </w:tcPr>
          <w:p>
            <w:pPr>
              <w:pStyle w:val="34"/>
              <w:spacing w:line="360" w:lineRule="exact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支持的分辨率</w:t>
            </w:r>
          </w:p>
        </w:tc>
        <w:tc>
          <w:tcPr>
            <w:tcW w:w="5049" w:type="dxa"/>
            <w:vAlign w:val="center"/>
          </w:tcPr>
          <w:p>
            <w:pPr>
              <w:pStyle w:val="34"/>
              <w:ind w:firstLine="100" w:firstLineChars="5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最高支持的分辨率达3840x2160/60p(4:4:4)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51" w:type="dxa"/>
            <w:vAlign w:val="center"/>
          </w:tcPr>
          <w:p>
            <w:pPr>
              <w:pStyle w:val="34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视频信号延迟</w:t>
            </w:r>
          </w:p>
        </w:tc>
        <w:tc>
          <w:tcPr>
            <w:tcW w:w="5049" w:type="dxa"/>
            <w:vAlign w:val="center"/>
          </w:tcPr>
          <w:p>
            <w:pPr>
              <w:spacing w:line="360" w:lineRule="exact"/>
              <w:ind w:firstLine="100" w:firstLineChars="5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同步锁相模式：40 usec</w:t>
            </w:r>
          </w:p>
          <w:p>
            <w:pPr>
              <w:spacing w:line="360" w:lineRule="exact"/>
              <w:ind w:firstLine="100" w:firstLineChars="5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快速交换模式：不超过2视频帧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vAlign w:val="center"/>
          </w:tcPr>
          <w:p>
            <w:pPr>
              <w:spacing w:before="35" w:line="360" w:lineRule="exact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10GbE交换机要求</w:t>
            </w:r>
          </w:p>
          <w:p>
            <w:pPr>
              <w:pStyle w:val="34"/>
              <w:spacing w:line="360" w:lineRule="exact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5049" w:type="dxa"/>
            <w:vAlign w:val="center"/>
          </w:tcPr>
          <w:p>
            <w:pPr>
              <w:widowControl/>
              <w:spacing w:line="360" w:lineRule="exact"/>
              <w:ind w:firstLine="100" w:firstLineChars="5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要求的功能：10GbE、无闭塞、第二层，通过IGMP监听进行多路传送输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vAlign w:val="center"/>
          </w:tcPr>
          <w:p>
            <w:pPr>
              <w:pStyle w:val="34"/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支持的输入输出端口数量</w:t>
            </w:r>
          </w:p>
        </w:tc>
        <w:tc>
          <w:tcPr>
            <w:tcW w:w="5049" w:type="dxa"/>
            <w:vAlign w:val="center"/>
          </w:tcPr>
          <w:p>
            <w:pPr>
              <w:pStyle w:val="34"/>
              <w:spacing w:line="360" w:lineRule="exact"/>
              <w:ind w:left="125" w:lef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入输出阵列仅受限于10GbE网络交换机的大小（即端口数量）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vAlign w:val="center"/>
          </w:tcPr>
          <w:p>
            <w:pPr>
              <w:pStyle w:val="34"/>
              <w:spacing w:line="360" w:lineRule="exact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推荐的范畴电缆</w:t>
            </w:r>
          </w:p>
        </w:tc>
        <w:tc>
          <w:tcPr>
            <w:tcW w:w="5049" w:type="dxa"/>
            <w:vAlign w:val="center"/>
          </w:tcPr>
          <w:p>
            <w:pPr>
              <w:spacing w:before="38" w:line="360" w:lineRule="exact"/>
              <w:ind w:firstLine="100" w:firstLineChars="5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CAT7 S/FTP（500 MHz）AWG 23或CAT7（欧洲）与TIA/EIA-568B终端标准相符合，适用于10G网口版本。</w:t>
            </w:r>
          </w:p>
          <w:p>
            <w:pPr>
              <w:pStyle w:val="34"/>
              <w:spacing w:line="124" w:lineRule="exact"/>
              <w:ind w:left="121" w:lef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tcBorders>
              <w:bottom w:val="single" w:color="000000" w:sz="6" w:space="0"/>
            </w:tcBorders>
            <w:vAlign w:val="center"/>
          </w:tcPr>
          <w:p>
            <w:pPr>
              <w:spacing w:before="129" w:line="300" w:lineRule="exact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最大电缆距离</w:t>
            </w:r>
          </w:p>
          <w:p>
            <w:pPr>
              <w:pStyle w:val="34"/>
              <w:spacing w:line="124" w:lineRule="exact"/>
              <w:ind w:left="162" w:lef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5049" w:type="dxa"/>
            <w:tcBorders>
              <w:bottom w:val="single" w:color="000000" w:sz="6" w:space="0"/>
            </w:tcBorders>
            <w:vAlign w:val="center"/>
          </w:tcPr>
          <w:p>
            <w:pPr>
              <w:pStyle w:val="34"/>
              <w:spacing w:line="360" w:lineRule="exact"/>
              <w:ind w:firstLine="100" w:firstLineChars="5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使用10G单模光纤最远传输距离可达30公里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0" w:type="dxa"/>
            <w:gridSpan w:val="2"/>
            <w:tcBorders>
              <w:bottom w:val="single" w:color="000000" w:sz="6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34"/>
              <w:spacing w:line="360" w:lineRule="exact"/>
              <w:ind w:firstLine="120" w:firstLineChars="5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视频编码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tcBorders>
              <w:top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编码类型</w:t>
            </w:r>
          </w:p>
        </w:tc>
        <w:tc>
          <w:tcPr>
            <w:tcW w:w="5049" w:type="dxa"/>
            <w:tcBorders>
              <w:top w:val="single" w:color="000000" w:sz="6" w:space="0"/>
            </w:tcBorders>
            <w:vAlign w:val="center"/>
          </w:tcPr>
          <w:p>
            <w:pPr>
              <w:widowControl/>
              <w:ind w:firstLine="100" w:firstLineChars="5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H.264/H.265同时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vAlign w:val="center"/>
          </w:tcPr>
          <w:p>
            <w:pPr>
              <w:widowControl/>
              <w:spacing w:line="300" w:lineRule="exact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编码帧率</w:t>
            </w:r>
          </w:p>
        </w:tc>
        <w:tc>
          <w:tcPr>
            <w:tcW w:w="5049" w:type="dxa"/>
            <w:vAlign w:val="center"/>
          </w:tcPr>
          <w:p>
            <w:pPr>
              <w:spacing w:before="53" w:line="360" w:lineRule="exact"/>
              <w:ind w:firstLine="100" w:firstLineChars="5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5-30可调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vAlign w:val="center"/>
          </w:tcPr>
          <w:p>
            <w:pPr>
              <w:spacing w:before="42" w:line="360" w:lineRule="exact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关键帧间隔（帧）</w:t>
            </w:r>
          </w:p>
        </w:tc>
        <w:tc>
          <w:tcPr>
            <w:tcW w:w="5049" w:type="dxa"/>
            <w:vAlign w:val="center"/>
          </w:tcPr>
          <w:p>
            <w:pPr>
              <w:spacing w:before="53" w:line="360" w:lineRule="exact"/>
              <w:ind w:firstLine="100" w:firstLineChars="5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5-300可调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vAlign w:val="center"/>
          </w:tcPr>
          <w:p>
            <w:pPr>
              <w:spacing w:before="42" w:line="360" w:lineRule="exact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比特率(kbit)</w:t>
            </w:r>
          </w:p>
        </w:tc>
        <w:tc>
          <w:tcPr>
            <w:tcW w:w="5049" w:type="dxa"/>
            <w:vAlign w:val="center"/>
          </w:tcPr>
          <w:p>
            <w:pPr>
              <w:spacing w:before="53" w:line="360" w:lineRule="exact"/>
              <w:ind w:firstLine="100" w:firstLineChars="5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32-1024可调（10M）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vAlign w:val="center"/>
          </w:tcPr>
          <w:p>
            <w:pPr>
              <w:spacing w:before="42" w:line="360" w:lineRule="exact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编码后分辨率</w:t>
            </w:r>
          </w:p>
        </w:tc>
        <w:tc>
          <w:tcPr>
            <w:tcW w:w="5049" w:type="dxa"/>
            <w:vAlign w:val="center"/>
          </w:tcPr>
          <w:p>
            <w:pPr>
              <w:spacing w:before="53" w:line="360" w:lineRule="exact"/>
              <w:ind w:firstLine="100" w:firstLineChars="5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1920X1080/1280x720/720x540/352*288</w:t>
            </w:r>
            <w:r>
              <w:rPr>
                <w:rFonts w:hint="eastAsia" w:asciiTheme="minorEastAsia" w:hAnsiTheme="minorEastAsia" w:eastAsiaTheme="minorEastAsia" w:cstheme="minorEastAsia"/>
                <w:position w:val="1"/>
                <w:sz w:val="20"/>
                <w:szCs w:val="20"/>
              </w:rPr>
              <w:t>与输入分辨率相同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vAlign w:val="center"/>
          </w:tcPr>
          <w:p>
            <w:pPr>
              <w:spacing w:before="42" w:line="360" w:lineRule="exact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码流控</w:t>
            </w:r>
          </w:p>
        </w:tc>
        <w:tc>
          <w:tcPr>
            <w:tcW w:w="5049" w:type="dxa"/>
            <w:vAlign w:val="center"/>
          </w:tcPr>
          <w:p>
            <w:pPr>
              <w:pStyle w:val="9"/>
              <w:spacing w:before="8" w:line="36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Cbr/vbr可选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451" w:type="dxa"/>
            <w:tcBorders>
              <w:bottom w:val="single" w:color="000000" w:sz="6" w:space="0"/>
            </w:tcBorders>
            <w:vAlign w:val="center"/>
          </w:tcPr>
          <w:p>
            <w:pPr>
              <w:spacing w:before="124" w:line="360" w:lineRule="exact"/>
              <w:ind w:right="729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码流</w:t>
            </w:r>
          </w:p>
        </w:tc>
        <w:tc>
          <w:tcPr>
            <w:tcW w:w="5049" w:type="dxa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exact"/>
              <w:ind w:firstLine="100" w:firstLineChars="5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支持 /RTSP/ONVIF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500" w:type="dxa"/>
            <w:gridSpan w:val="2"/>
            <w:tcBorders>
              <w:bottom w:val="single" w:color="000000" w:sz="6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tcBorders>
              <w:top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典型电力消耗</w:t>
            </w:r>
          </w:p>
        </w:tc>
        <w:tc>
          <w:tcPr>
            <w:tcW w:w="5049" w:type="dxa"/>
            <w:tcBorders>
              <w:top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整机约20W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外部交流电适配器</w:t>
            </w:r>
          </w:p>
        </w:tc>
        <w:tc>
          <w:tcPr>
            <w:tcW w:w="504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输入：100-240V 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vAlign w:val="center"/>
          </w:tcPr>
          <w:p>
            <w:pPr>
              <w:spacing w:before="42" w:line="360" w:lineRule="exact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结构</w:t>
            </w:r>
          </w:p>
        </w:tc>
        <w:tc>
          <w:tcPr>
            <w:tcW w:w="504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称重式铁制外壳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vAlign w:val="center"/>
          </w:tcPr>
          <w:p>
            <w:pPr>
              <w:spacing w:before="42" w:line="360" w:lineRule="exact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尺寸（长X宽X高）</w:t>
            </w:r>
          </w:p>
        </w:tc>
        <w:tc>
          <w:tcPr>
            <w:tcW w:w="504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单位尺寸：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0"/>
                <w:szCs w:val="20"/>
              </w:rPr>
              <w:t xml:space="preserve">480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x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</w:rPr>
              <w:t xml:space="preserve">235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x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44(mm)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vAlign w:val="center"/>
          </w:tcPr>
          <w:p>
            <w:pPr>
              <w:spacing w:before="42" w:line="360" w:lineRule="exact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裸机重量</w:t>
            </w:r>
          </w:p>
        </w:tc>
        <w:tc>
          <w:tcPr>
            <w:tcW w:w="504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单位重量：3.4Kg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vAlign w:val="center"/>
          </w:tcPr>
          <w:p>
            <w:pPr>
              <w:spacing w:before="42" w:line="360" w:lineRule="exact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工作温度（环境）</w:t>
            </w:r>
          </w:p>
        </w:tc>
        <w:tc>
          <w:tcPr>
            <w:tcW w:w="504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-20℃+60℃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vAlign w:val="center"/>
          </w:tcPr>
          <w:p>
            <w:pPr>
              <w:spacing w:before="42" w:line="360" w:lineRule="exact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典型外表温度</w:t>
            </w:r>
          </w:p>
        </w:tc>
        <w:tc>
          <w:tcPr>
            <w:tcW w:w="504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Rx单元：105.8° F (41 °C)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vAlign w:val="center"/>
          </w:tcPr>
          <w:p>
            <w:pPr>
              <w:spacing w:before="42" w:line="360" w:lineRule="exact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存储温度（环境）</w:t>
            </w:r>
          </w:p>
        </w:tc>
        <w:tc>
          <w:tcPr>
            <w:tcW w:w="504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-4° 至+158° F (-20° to+70° 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vAlign w:val="center"/>
          </w:tcPr>
          <w:p>
            <w:pPr>
              <w:spacing w:before="42" w:line="360" w:lineRule="exact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工作/存储湿度</w:t>
            </w:r>
          </w:p>
        </w:tc>
        <w:tc>
          <w:tcPr>
            <w:tcW w:w="504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10%至90%（不凝固）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51" w:type="dxa"/>
            <w:vAlign w:val="center"/>
          </w:tcPr>
          <w:p>
            <w:pPr>
              <w:spacing w:before="42" w:line="360" w:lineRule="exact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保修期</w:t>
            </w:r>
          </w:p>
        </w:tc>
        <w:tc>
          <w:tcPr>
            <w:tcW w:w="5049" w:type="dxa"/>
            <w:vAlign w:val="center"/>
          </w:tcPr>
          <w:p>
            <w:pPr>
              <w:spacing w:before="42" w:line="360" w:lineRule="exact"/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壹年零部件保修</w:t>
            </w:r>
          </w:p>
        </w:tc>
      </w:tr>
    </w:tbl>
    <w:p>
      <w:pPr>
        <w:pStyle w:val="2"/>
        <w:jc w:val="both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991" w:bottom="1440" w:left="993" w:header="454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5688330</wp:posOffset>
          </wp:positionH>
          <wp:positionV relativeFrom="paragraph">
            <wp:posOffset>121920</wp:posOffset>
          </wp:positionV>
          <wp:extent cx="586105" cy="586105"/>
          <wp:effectExtent l="0" t="0" r="4445" b="4445"/>
          <wp:wrapSquare wrapText="bothSides"/>
          <wp:docPr id="10" name="图片 10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微信公众号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105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t xml:space="preserve"> </w:t>
    </w:r>
    <w:r>
      <w:rPr>
        <w:rFonts w:hint="eastAsia"/>
      </w:rPr>
      <w:drawing>
        <wp:inline distT="0" distB="0" distL="114300" distR="114300">
          <wp:extent cx="3731260" cy="695325"/>
          <wp:effectExtent l="0" t="0" r="2540" b="0"/>
          <wp:docPr id="6" name="图片 6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页脚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3126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hint="eastAsia"/>
      </w:rPr>
      <w:t xml:space="preserve">                </w:t>
    </w:r>
  </w:p>
  <w:p>
    <w:pPr>
      <w:pStyle w:val="11"/>
      <w:ind w:right="600"/>
      <w:jc w:val="right"/>
    </w:pP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>页码：第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PAGE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1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  <w:lang w:val="zh-CN"/>
      </w:rPr>
      <w:t xml:space="preserve"> /共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NUMPAGES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4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hint="eastAsia"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ab/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 xml:space="preserve">      表单号：BD-CPCTY-0001 A0</w:t>
    </w:r>
    <w:r>
      <w:rPr>
        <w:rFonts w:ascii="Times New Roman" w:hAnsi="Times New Roman" w:eastAsia="宋体" w:cs="Times New Roman"/>
        <w:sz w:val="20"/>
        <w:szCs w:val="20"/>
      </w:rPr>
      <w:t xml:space="preserve">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  <w:rPr>
        <w:rFonts w:hint="eastAsia" w:eastAsiaTheme="minorEastAsia"/>
        <w:lang w:eastAsia="zh-CN"/>
      </w:rPr>
    </w:pPr>
    <w:r>
      <w:drawing>
        <wp:inline distT="0" distB="0" distL="114300" distR="114300">
          <wp:extent cx="2204085" cy="683895"/>
          <wp:effectExtent l="0" t="0" r="5715" b="1905"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08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2376805" cy="713740"/>
          <wp:effectExtent l="0" t="0" r="4445" b="635"/>
          <wp:docPr id="3" name="图片 3" descr="页眉右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右边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rPr>
        <w:rFonts w:hint="eastAsia"/>
        <w:lang w:val="en-US" w:eastAsia="zh-CN"/>
      </w:rPr>
      <w:t xml:space="preserve">               </w:t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80EE6"/>
    <w:multiLevelType w:val="singleLevel"/>
    <w:tmpl w:val="51A80EE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7198EB8"/>
    <w:multiLevelType w:val="singleLevel"/>
    <w:tmpl w:val="77198E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NDY4NDdlNzRkMWM2MjI0MmUwZDhlMTI5NTg1YWEifQ=="/>
  </w:docVars>
  <w:rsids>
    <w:rsidRoot w:val="00EE2239"/>
    <w:rsid w:val="00034552"/>
    <w:rsid w:val="00086AFE"/>
    <w:rsid w:val="00093538"/>
    <w:rsid w:val="000A64E2"/>
    <w:rsid w:val="000B3DFC"/>
    <w:rsid w:val="000F5B6D"/>
    <w:rsid w:val="00102DB8"/>
    <w:rsid w:val="001128B1"/>
    <w:rsid w:val="00131FEB"/>
    <w:rsid w:val="00132C8D"/>
    <w:rsid w:val="001343A8"/>
    <w:rsid w:val="00157397"/>
    <w:rsid w:val="0017241F"/>
    <w:rsid w:val="001E03F6"/>
    <w:rsid w:val="00210A86"/>
    <w:rsid w:val="0029030D"/>
    <w:rsid w:val="00295F7B"/>
    <w:rsid w:val="002B3994"/>
    <w:rsid w:val="002C6ADA"/>
    <w:rsid w:val="002D6FB1"/>
    <w:rsid w:val="00315BB1"/>
    <w:rsid w:val="0035080F"/>
    <w:rsid w:val="00352C00"/>
    <w:rsid w:val="003D75DC"/>
    <w:rsid w:val="003F266E"/>
    <w:rsid w:val="00400A93"/>
    <w:rsid w:val="00432739"/>
    <w:rsid w:val="00457C71"/>
    <w:rsid w:val="004773A2"/>
    <w:rsid w:val="004A22AA"/>
    <w:rsid w:val="004A6AB6"/>
    <w:rsid w:val="004B6616"/>
    <w:rsid w:val="004D7995"/>
    <w:rsid w:val="004E30D0"/>
    <w:rsid w:val="004F3B59"/>
    <w:rsid w:val="00504BAC"/>
    <w:rsid w:val="0051138D"/>
    <w:rsid w:val="00514AFB"/>
    <w:rsid w:val="0053098E"/>
    <w:rsid w:val="00552C74"/>
    <w:rsid w:val="005701E6"/>
    <w:rsid w:val="00583456"/>
    <w:rsid w:val="00590301"/>
    <w:rsid w:val="00592132"/>
    <w:rsid w:val="005A7A0C"/>
    <w:rsid w:val="005B0A3E"/>
    <w:rsid w:val="005C604B"/>
    <w:rsid w:val="006026D1"/>
    <w:rsid w:val="006355BE"/>
    <w:rsid w:val="00655A27"/>
    <w:rsid w:val="006854D3"/>
    <w:rsid w:val="006B2397"/>
    <w:rsid w:val="006C5CB9"/>
    <w:rsid w:val="006E75AA"/>
    <w:rsid w:val="007067D8"/>
    <w:rsid w:val="00773493"/>
    <w:rsid w:val="0077496E"/>
    <w:rsid w:val="00790D07"/>
    <w:rsid w:val="007B412B"/>
    <w:rsid w:val="007B5223"/>
    <w:rsid w:val="0080459E"/>
    <w:rsid w:val="008C43E8"/>
    <w:rsid w:val="00906440"/>
    <w:rsid w:val="00916CC4"/>
    <w:rsid w:val="00917A5E"/>
    <w:rsid w:val="0093237D"/>
    <w:rsid w:val="00950714"/>
    <w:rsid w:val="00983086"/>
    <w:rsid w:val="009C02FC"/>
    <w:rsid w:val="009D2E7B"/>
    <w:rsid w:val="009D4C9F"/>
    <w:rsid w:val="00A00E7B"/>
    <w:rsid w:val="00A543DF"/>
    <w:rsid w:val="00A55A95"/>
    <w:rsid w:val="00A66659"/>
    <w:rsid w:val="00A837FF"/>
    <w:rsid w:val="00AB2232"/>
    <w:rsid w:val="00AB7A25"/>
    <w:rsid w:val="00AF25A0"/>
    <w:rsid w:val="00AF7A26"/>
    <w:rsid w:val="00B465D8"/>
    <w:rsid w:val="00B55148"/>
    <w:rsid w:val="00B557FF"/>
    <w:rsid w:val="00B72D1A"/>
    <w:rsid w:val="00BB08E1"/>
    <w:rsid w:val="00BC2526"/>
    <w:rsid w:val="00C10124"/>
    <w:rsid w:val="00C13E44"/>
    <w:rsid w:val="00C171C3"/>
    <w:rsid w:val="00C41ADF"/>
    <w:rsid w:val="00D26A4B"/>
    <w:rsid w:val="00D2756F"/>
    <w:rsid w:val="00D32400"/>
    <w:rsid w:val="00D706BE"/>
    <w:rsid w:val="00D84E81"/>
    <w:rsid w:val="00DC52F9"/>
    <w:rsid w:val="00E21325"/>
    <w:rsid w:val="00E32342"/>
    <w:rsid w:val="00E523E0"/>
    <w:rsid w:val="00E67346"/>
    <w:rsid w:val="00EC3907"/>
    <w:rsid w:val="00EE2239"/>
    <w:rsid w:val="00F35BB0"/>
    <w:rsid w:val="00F41DB5"/>
    <w:rsid w:val="00F67EB6"/>
    <w:rsid w:val="00FC211B"/>
    <w:rsid w:val="00FD01D8"/>
    <w:rsid w:val="029A3E22"/>
    <w:rsid w:val="04B213C1"/>
    <w:rsid w:val="04D17AA6"/>
    <w:rsid w:val="057E74F5"/>
    <w:rsid w:val="05A131E3"/>
    <w:rsid w:val="06B35455"/>
    <w:rsid w:val="0A9F4195"/>
    <w:rsid w:val="0B6D6042"/>
    <w:rsid w:val="0EC21597"/>
    <w:rsid w:val="101C440E"/>
    <w:rsid w:val="114E06C3"/>
    <w:rsid w:val="11C91AF8"/>
    <w:rsid w:val="15E2762C"/>
    <w:rsid w:val="16CA259A"/>
    <w:rsid w:val="17D80473"/>
    <w:rsid w:val="183028D1"/>
    <w:rsid w:val="18D94D16"/>
    <w:rsid w:val="1C024584"/>
    <w:rsid w:val="1D61352C"/>
    <w:rsid w:val="1E7B061E"/>
    <w:rsid w:val="1F0B7BF4"/>
    <w:rsid w:val="1F14208B"/>
    <w:rsid w:val="207F7B8E"/>
    <w:rsid w:val="21F11323"/>
    <w:rsid w:val="22EA5D72"/>
    <w:rsid w:val="24561911"/>
    <w:rsid w:val="25800FD6"/>
    <w:rsid w:val="26A34BB6"/>
    <w:rsid w:val="2A6428AE"/>
    <w:rsid w:val="2B847C6D"/>
    <w:rsid w:val="2D1C7470"/>
    <w:rsid w:val="2D870D8D"/>
    <w:rsid w:val="2E335B48"/>
    <w:rsid w:val="302C5C1C"/>
    <w:rsid w:val="311A1F18"/>
    <w:rsid w:val="315E1E05"/>
    <w:rsid w:val="319620CE"/>
    <w:rsid w:val="35AA386B"/>
    <w:rsid w:val="38DC5587"/>
    <w:rsid w:val="39616936"/>
    <w:rsid w:val="3C4D4F50"/>
    <w:rsid w:val="3DFC6C2D"/>
    <w:rsid w:val="3DFE0BF8"/>
    <w:rsid w:val="3F163D1F"/>
    <w:rsid w:val="402C30CE"/>
    <w:rsid w:val="41055ABF"/>
    <w:rsid w:val="445F194D"/>
    <w:rsid w:val="449F6565"/>
    <w:rsid w:val="45E5269D"/>
    <w:rsid w:val="49941EC5"/>
    <w:rsid w:val="4A6C1E3D"/>
    <w:rsid w:val="4D16516C"/>
    <w:rsid w:val="4D986D41"/>
    <w:rsid w:val="4E870795"/>
    <w:rsid w:val="4E9764FE"/>
    <w:rsid w:val="4EA8496E"/>
    <w:rsid w:val="503F0BFC"/>
    <w:rsid w:val="50BB2978"/>
    <w:rsid w:val="50EC0D83"/>
    <w:rsid w:val="51905BB3"/>
    <w:rsid w:val="51D57A6A"/>
    <w:rsid w:val="52944C12"/>
    <w:rsid w:val="538C05FC"/>
    <w:rsid w:val="552F7491"/>
    <w:rsid w:val="56755377"/>
    <w:rsid w:val="56D54068"/>
    <w:rsid w:val="56F02C50"/>
    <w:rsid w:val="589046EA"/>
    <w:rsid w:val="597D4C6F"/>
    <w:rsid w:val="598D4799"/>
    <w:rsid w:val="5A737E20"/>
    <w:rsid w:val="5B5A4166"/>
    <w:rsid w:val="5C0C052C"/>
    <w:rsid w:val="61AA1D5B"/>
    <w:rsid w:val="62053A53"/>
    <w:rsid w:val="64BE25DF"/>
    <w:rsid w:val="677671A1"/>
    <w:rsid w:val="689550A0"/>
    <w:rsid w:val="690A736D"/>
    <w:rsid w:val="69586B5E"/>
    <w:rsid w:val="6C044D7B"/>
    <w:rsid w:val="6DE035C6"/>
    <w:rsid w:val="6EAD133E"/>
    <w:rsid w:val="6F7C10CD"/>
    <w:rsid w:val="74121C10"/>
    <w:rsid w:val="746C5BB4"/>
    <w:rsid w:val="74FC0CE6"/>
    <w:rsid w:val="759E7FEF"/>
    <w:rsid w:val="76E93A99"/>
    <w:rsid w:val="77316C41"/>
    <w:rsid w:val="77BE6DDB"/>
    <w:rsid w:val="77BF424C"/>
    <w:rsid w:val="77EC376A"/>
    <w:rsid w:val="794932DF"/>
    <w:rsid w:val="7E4E00D8"/>
    <w:rsid w:val="7F42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link w:val="26"/>
    <w:qFormat/>
    <w:uiPriority w:val="9"/>
    <w:pPr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4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7">
    <w:name w:val="heading 9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Body Text"/>
    <w:basedOn w:val="1"/>
    <w:qFormat/>
    <w:uiPriority w:val="1"/>
    <w:pPr>
      <w:spacing w:before="115"/>
      <w:ind w:left="600"/>
    </w:pPr>
    <w:rPr>
      <w:rFonts w:ascii="宋体" w:hAnsi="宋体"/>
      <w:sz w:val="20"/>
      <w:szCs w:val="20"/>
    </w:rPr>
  </w:style>
  <w:style w:type="paragraph" w:styleId="10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semiHidden/>
    <w:unhideWhenUsed/>
    <w:qFormat/>
    <w:uiPriority w:val="39"/>
    <w:pPr>
      <w:ind w:left="420" w:leftChars="200"/>
    </w:pPr>
  </w:style>
  <w:style w:type="table" w:styleId="16">
    <w:name w:val="Table Grid"/>
    <w:basedOn w:val="15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20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7"/>
    <w:link w:val="10"/>
    <w:semiHidden/>
    <w:qFormat/>
    <w:uiPriority w:val="99"/>
    <w:rPr>
      <w:sz w:val="18"/>
      <w:szCs w:val="18"/>
    </w:rPr>
  </w:style>
  <w:style w:type="character" w:customStyle="1" w:styleId="22">
    <w:name w:val="标题 3 字符"/>
    <w:basedOn w:val="17"/>
    <w:link w:val="5"/>
    <w:qFormat/>
    <w:uiPriority w:val="9"/>
    <w:rPr>
      <w:b/>
      <w:sz w:val="32"/>
    </w:rPr>
  </w:style>
  <w:style w:type="character" w:customStyle="1" w:styleId="23">
    <w:name w:val="标题 2 字符"/>
    <w:basedOn w:val="17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标题 1 字符"/>
    <w:basedOn w:val="17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7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8">
    <w:name w:val="图片"/>
    <w:basedOn w:val="1"/>
    <w:qFormat/>
    <w:uiPriority w:val="0"/>
    <w:pPr>
      <w:spacing w:before="50" w:beforeLines="50" w:line="480" w:lineRule="auto"/>
      <w:jc w:val="center"/>
    </w:pPr>
    <w:rPr>
      <w:rFonts w:ascii="Times New Roman" w:hAnsi="Times New Roman" w:cs="Times New Roman"/>
      <w:color w:val="000000"/>
      <w:kern w:val="0"/>
      <w:sz w:val="19"/>
      <w:szCs w:val="19"/>
      <w:lang w:val="zh-CN" w:bidi="zh-CN"/>
    </w:rPr>
  </w:style>
  <w:style w:type="paragraph" w:customStyle="1" w:styleId="29">
    <w:name w:val="样式1"/>
    <w:basedOn w:val="3"/>
    <w:next w:val="1"/>
    <w:qFormat/>
    <w:uiPriority w:val="0"/>
    <w:pPr>
      <w:spacing w:before="100" w:after="90"/>
    </w:pPr>
  </w:style>
  <w:style w:type="paragraph" w:customStyle="1" w:styleId="30">
    <w:name w:val="样式2"/>
    <w:basedOn w:val="3"/>
    <w:next w:val="1"/>
    <w:qFormat/>
    <w:uiPriority w:val="0"/>
    <w:pPr>
      <w:spacing w:before="120" w:after="120" w:line="360" w:lineRule="auto"/>
    </w:pPr>
  </w:style>
  <w:style w:type="paragraph" w:customStyle="1" w:styleId="31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2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3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4">
    <w:name w:val="Table Paragraph"/>
    <w:basedOn w:val="1"/>
    <w:qFormat/>
    <w:uiPriority w:val="1"/>
  </w:style>
  <w:style w:type="paragraph" w:styleId="35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table" w:customStyle="1" w:styleId="36">
    <w:name w:val="网格型1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0060-F4E9-4DD0-AFA0-A2E37B7990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1146</Words>
  <Characters>1641</Characters>
  <Lines>6</Lines>
  <Paragraphs>1</Paragraphs>
  <TotalTime>0</TotalTime>
  <ScaleCrop>false</ScaleCrop>
  <LinksUpToDate>false</LinksUpToDate>
  <CharactersWithSpaces>1693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2022-11-15T03:05:00Z</dcterms:created>
  <dc:creator>Sky123.Org</dc:creator>
  <cp:lastModifiedBy>南瓜土豆</cp:lastModifiedBy>
  <cp:lastPrinted>2022-11-15T03:28:00Z</cp:lastPrinted>
  <dcterms:modified xsi:type="dcterms:W3CDTF">2022-12-20T08:35:05Z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CBBEF6A5B68544B38B2D3A48B50E34E0</vt:lpwstr>
  </property>
</Properties>
</file>