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firstLine="2161" w:firstLineChars="300"/>
        <w:jc w:val="both"/>
        <w:rPr>
          <w:rFonts w:hint="eastAsia" w:ascii="微软雅黑" w:hAnsi="微软雅黑" w:eastAsia="微软雅黑" w:cs="微软雅黑"/>
          <w:b/>
          <w:bCs/>
          <w:sz w:val="72"/>
          <w:szCs w:val="72"/>
        </w:rPr>
      </w:pPr>
      <w:bookmarkStart w:id="0" w:name="_Hlk34051380"/>
    </w:p>
    <w:p>
      <w:pPr>
        <w:jc w:val="center"/>
        <w:rPr>
          <w:rFonts w:hint="eastAsia" w:ascii="微软雅黑" w:hAnsi="微软雅黑" w:eastAsia="微软雅黑" w:cs="微软雅黑"/>
          <w:b/>
          <w:bCs/>
          <w:sz w:val="72"/>
          <w:szCs w:val="7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  <w:lang w:val="en-US" w:eastAsia="zh-CN"/>
        </w:rPr>
        <w:t>一拖二无线领夹话筒</w:t>
      </w:r>
    </w:p>
    <w:p>
      <w:pPr>
        <w:spacing w:line="360" w:lineRule="auto"/>
        <w:ind w:firstLine="3960" w:firstLineChars="1100"/>
        <w:jc w:val="left"/>
        <w:rPr>
          <w:rFonts w:hint="eastAsia" w:ascii="微软雅黑" w:hAnsi="微软雅黑" w:eastAsia="微软雅黑"/>
          <w:b w:val="0"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36"/>
          <w:szCs w:val="36"/>
          <w:highlight w:val="none"/>
          <w:lang w:val="en-US" w:eastAsia="zh-CN"/>
        </w:rPr>
        <w:t>DW-CM962</w:t>
      </w:r>
    </w:p>
    <w:bookmarkEnd w:id="0"/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户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手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</w:pPr>
      <w:r>
        <w:rPr>
          <w:rFonts w:hint="eastAsia" w:ascii="微软雅黑" w:hAnsi="微软雅黑" w:eastAsia="微软雅黑" w:cs="微软雅黑"/>
          <w:b/>
          <w:bCs/>
          <w:sz w:val="88"/>
          <w:szCs w:val="88"/>
          <w:lang w:val="en-US" w:eastAsia="zh-CN"/>
        </w:rPr>
        <w:t>册</w:t>
      </w:r>
    </w:p>
    <w:p>
      <w:pPr>
        <w:pStyle w:val="2"/>
        <w:rPr>
          <w:rFonts w:hint="eastAsia" w:ascii="微软雅黑" w:hAnsi="微软雅黑" w:eastAsia="微软雅黑"/>
          <w:b w:val="0"/>
          <w:bCs/>
          <w:sz w:val="36"/>
          <w:szCs w:val="36"/>
          <w:highlight w:val="none"/>
          <w:lang w:val="en-US" w:eastAsia="zh-CN"/>
        </w:rPr>
      </w:pPr>
    </w:p>
    <w:p>
      <w:pPr>
        <w:spacing w:line="360" w:lineRule="auto"/>
        <w:jc w:val="center"/>
        <w:rPr>
          <w:rFonts w:ascii="微软雅黑" w:hAnsi="微软雅黑" w:eastAsia="微软雅黑" w:cs="微软雅黑"/>
          <w:sz w:val="36"/>
          <w:szCs w:val="36"/>
          <w:highlight w:val="none"/>
          <w:vertAlign w:val="subscript"/>
        </w:rPr>
      </w:pPr>
      <w:r>
        <w:rPr>
          <w:rFonts w:hint="eastAsia" w:ascii="微软雅黑" w:hAnsi="微软雅黑" w:eastAsia="微软雅黑" w:cs="微软雅黑"/>
          <w:sz w:val="36"/>
          <w:szCs w:val="36"/>
          <w:highlight w:val="none"/>
          <w:vertAlign w:val="subscript"/>
        </w:rPr>
        <w:t>V</w:t>
      </w:r>
      <w:r>
        <w:rPr>
          <w:rFonts w:ascii="微软雅黑" w:hAnsi="微软雅黑" w:eastAsia="微软雅黑" w:cs="微软雅黑"/>
          <w:sz w:val="36"/>
          <w:szCs w:val="36"/>
          <w:highlight w:val="none"/>
          <w:vertAlign w:val="subscript"/>
        </w:rPr>
        <w:t>1.0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tabs>
          <w:tab w:val="left" w:pos="2985"/>
          <w:tab w:val="center" w:pos="5201"/>
        </w:tabs>
        <w:spacing w:line="260" w:lineRule="atLeast"/>
        <w:ind w:firstLine="2520" w:firstLineChars="700"/>
        <w:jc w:val="both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上海大因多媒体技术有限公司</w:t>
      </w:r>
    </w:p>
    <w:p>
      <w:pPr>
        <w:spacing w:line="260" w:lineRule="atLeast"/>
        <w:ind w:firstLine="440" w:firstLineChars="100"/>
        <w:jc w:val="left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z w:val="44"/>
          <w:szCs w:val="44"/>
        </w:rPr>
        <w:t>安全须知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</w:rPr>
        <w:t>请先阅读所有说明，然后再尝试打开包装，安装或在连接电源之前，请操作本设备。打开包装并安装设备时，请记住以下几点：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</w:t>
      </w:r>
      <w:r>
        <w:rPr>
          <w:rFonts w:ascii="微软雅黑" w:hAnsi="微软雅黑" w:eastAsia="微软雅黑" w:cs="微软雅黑"/>
          <w:sz w:val="24"/>
          <w:szCs w:val="24"/>
        </w:rPr>
        <w:t>始终遵循基本的安全预防措施，以减少火灾风险，电击和人身伤害。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＊为避免起火或电击危险，请勿将本机淋雨，潮湿或将本产品安装在靠近水的地方。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＊切勿将任何液体溅到本产品之上或之中</w:t>
      </w:r>
      <w:r>
        <w:rPr>
          <w:rFonts w:hint="eastAsia"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＊切勿通过任何方式将任何物体塞入本产品设备上的开口或空槽，因为可能会损坏单元内部零件。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＊请勿将电源线连接到建筑物表面。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＊仅使用随附的电源设备。 如果电源已损坏请勿使用。</w:t>
      </w:r>
    </w:p>
    <w:p>
      <w:pPr>
        <w:spacing w:line="260" w:lineRule="atLeast"/>
        <w:ind w:firstLine="480" w:firstLineChars="200"/>
        <w:jc w:val="left"/>
        <w:rPr>
          <w:rFonts w:ascii="Arial" w:hAnsi="Arial" w:eastAsia="微软雅黑" w:cs="Arial"/>
          <w:sz w:val="24"/>
          <w:szCs w:val="24"/>
        </w:rPr>
      </w:pPr>
      <w:r>
        <w:rPr>
          <w:rFonts w:ascii="Arial" w:hAnsi="Arial" w:eastAsia="微软雅黑" w:cs="Arial"/>
          <w:sz w:val="24"/>
          <w:szCs w:val="24"/>
        </w:rPr>
        <w:t>＊请勿在电源线上放置任何物品在或放置</w:t>
      </w:r>
      <w:r>
        <w:rPr>
          <w:rFonts w:hint="eastAsia" w:ascii="Arial" w:hAnsi="Arial" w:eastAsia="微软雅黑" w:cs="Arial"/>
          <w:sz w:val="24"/>
          <w:szCs w:val="24"/>
        </w:rPr>
        <w:t>在</w:t>
      </w:r>
      <w:r>
        <w:rPr>
          <w:rFonts w:ascii="Arial" w:hAnsi="Arial" w:eastAsia="微软雅黑" w:cs="Arial"/>
          <w:sz w:val="24"/>
          <w:szCs w:val="24"/>
        </w:rPr>
        <w:t>人</w:t>
      </w:r>
      <w:r>
        <w:rPr>
          <w:rFonts w:hint="eastAsia" w:ascii="Arial" w:hAnsi="Arial" w:eastAsia="微软雅黑" w:cs="Arial"/>
          <w:sz w:val="24"/>
          <w:szCs w:val="24"/>
        </w:rPr>
        <w:t>行走的通道上</w:t>
      </w:r>
      <w:r>
        <w:rPr>
          <w:rFonts w:ascii="Arial" w:hAnsi="Arial" w:eastAsia="微软雅黑" w:cs="Arial"/>
          <w:sz w:val="24"/>
          <w:szCs w:val="24"/>
        </w:rPr>
        <w:t>。</w:t>
      </w:r>
    </w:p>
    <w:p>
      <w:pPr>
        <w:spacing w:line="260" w:lineRule="atLeast"/>
        <w:ind w:firstLine="480" w:firstLineChars="200"/>
        <w:jc w:val="left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Arial" w:hAnsi="Arial" w:eastAsia="微软雅黑" w:cs="Arial"/>
          <w:sz w:val="24"/>
          <w:szCs w:val="24"/>
        </w:rPr>
        <w:t>＊为防止设备过热，请勿</w:t>
      </w:r>
      <w:r>
        <w:rPr>
          <w:rFonts w:hint="eastAsia" w:ascii="Arial" w:hAnsi="Arial" w:eastAsia="微软雅黑" w:cs="Arial"/>
          <w:sz w:val="24"/>
          <w:szCs w:val="24"/>
        </w:rPr>
        <w:t>将所有设备堆叠在一起</w:t>
      </w:r>
      <w:r>
        <w:rPr>
          <w:rFonts w:ascii="Arial" w:hAnsi="Arial" w:eastAsia="微软雅黑" w:cs="Arial"/>
          <w:sz w:val="24"/>
          <w:szCs w:val="24"/>
        </w:rPr>
        <w:t>或提供通风并允许足够的空间使空气在设备周围流通。</w:t>
      </w:r>
    </w:p>
    <w:p>
      <w:pPr>
        <w:widowControl/>
        <w:ind w:firstLine="480" w:firstLineChars="200"/>
        <w:jc w:val="left"/>
        <w:rPr>
          <w:rFonts w:hint="eastAsia" w:ascii="Arial" w:hAnsi="Arial" w:eastAsia="微软雅黑" w:cs="Arial"/>
          <w:sz w:val="24"/>
          <w:szCs w:val="24"/>
          <w:highlight w:val="none"/>
        </w:rPr>
      </w:pPr>
      <w:r>
        <w:rPr>
          <w:rFonts w:ascii="Arial" w:hAnsi="Arial" w:eastAsia="微软雅黑" w:cs="Arial"/>
          <w:sz w:val="24"/>
          <w:szCs w:val="24"/>
          <w:highlight w:val="none"/>
        </w:rPr>
        <w:t>＊</w:t>
      </w:r>
      <w:r>
        <w:rPr>
          <w:rFonts w:hint="eastAsia" w:ascii="Arial" w:hAnsi="Arial" w:eastAsia="微软雅黑" w:cs="Arial"/>
          <w:sz w:val="24"/>
          <w:szCs w:val="24"/>
          <w:highlight w:val="none"/>
        </w:rPr>
        <w:t>警告：本产品属于A类设备。在居住环境中，运行此设备可能会造成无线电干扰。</w:t>
      </w:r>
    </w:p>
    <w:p>
      <w:pPr>
        <w:widowControl/>
        <w:ind w:firstLine="480" w:firstLineChars="200"/>
        <w:jc w:val="left"/>
        <w:rPr>
          <w:rFonts w:hint="eastAsia" w:ascii="Arial" w:hAnsi="Arial" w:eastAsia="微软雅黑" w:cs="Arial"/>
          <w:sz w:val="24"/>
          <w:szCs w:val="24"/>
          <w:highlight w:val="none"/>
        </w:rPr>
      </w:pPr>
      <w:r>
        <w:rPr>
          <w:rFonts w:ascii="Arial" w:hAnsi="Arial" w:eastAsia="微软雅黑" w:cs="Arial"/>
          <w:sz w:val="24"/>
          <w:szCs w:val="24"/>
          <w:highlight w:val="none"/>
        </w:rPr>
        <w:t>＊</w:t>
      </w:r>
      <w:r>
        <w:rPr>
          <w:rFonts w:hint="eastAsia" w:ascii="Arial" w:hAnsi="Arial" w:eastAsia="微软雅黑" w:cs="Arial"/>
          <w:sz w:val="24"/>
          <w:szCs w:val="24"/>
          <w:highlight w:val="none"/>
          <w:lang w:val="en-US" w:eastAsia="zh-CN"/>
        </w:rPr>
        <w:t xml:space="preserve"> 注意：不要把电源插头压在机器下面或夹在其他物品中间；不要把电源连接装置 </w:t>
      </w:r>
    </w:p>
    <w:p>
      <w:pPr>
        <w:widowControl/>
        <w:ind w:firstLine="480" w:firstLineChars="200"/>
        <w:jc w:val="left"/>
        <w:rPr>
          <w:rFonts w:hint="eastAsia" w:ascii="Arial" w:hAnsi="Arial" w:eastAsia="微软雅黑" w:cs="Arial"/>
          <w:sz w:val="24"/>
          <w:szCs w:val="24"/>
          <w:highlight w:val="none"/>
        </w:rPr>
      </w:pPr>
      <w:r>
        <w:rPr>
          <w:rFonts w:hint="eastAsia" w:ascii="Arial" w:hAnsi="Arial" w:eastAsia="微软雅黑" w:cs="Arial"/>
          <w:sz w:val="24"/>
          <w:szCs w:val="24"/>
          <w:highlight w:val="none"/>
          <w:lang w:val="en-US" w:eastAsia="zh-CN"/>
        </w:rPr>
        <w:t xml:space="preserve">设置在人员来往频繁的地方，以免造成因插头破损而发生触电或火灾事故。 </w:t>
      </w:r>
    </w:p>
    <w:p>
      <w:pPr>
        <w:widowControl/>
        <w:ind w:firstLine="480" w:firstLineChars="200"/>
        <w:jc w:val="left"/>
        <w:rPr>
          <w:rFonts w:hint="eastAsia" w:ascii="Arial" w:hAnsi="Arial" w:eastAsia="微软雅黑" w:cs="Arial"/>
          <w:sz w:val="24"/>
          <w:szCs w:val="24"/>
          <w:highlight w:val="none"/>
        </w:rPr>
      </w:pPr>
      <w:r>
        <w:rPr>
          <w:rFonts w:ascii="Arial" w:hAnsi="Arial" w:eastAsia="微软雅黑" w:cs="Arial"/>
          <w:sz w:val="24"/>
          <w:szCs w:val="24"/>
          <w:highlight w:val="none"/>
        </w:rPr>
        <w:t>＊</w:t>
      </w:r>
      <w:r>
        <w:rPr>
          <w:rFonts w:hint="eastAsia" w:ascii="Arial" w:hAnsi="Arial" w:eastAsia="微软雅黑" w:cs="Arial"/>
          <w:sz w:val="24"/>
          <w:szCs w:val="24"/>
          <w:highlight w:val="none"/>
          <w:lang w:val="en-US" w:eastAsia="zh-CN"/>
        </w:rPr>
        <w:t xml:space="preserve"> 使用：请按合理次序开关机；开机：先开前级，再开功放；关机：先关功放，后 </w:t>
      </w:r>
    </w:p>
    <w:p>
      <w:pPr>
        <w:widowControl/>
        <w:ind w:firstLine="480" w:firstLineChars="200"/>
        <w:jc w:val="left"/>
        <w:rPr>
          <w:rFonts w:hint="eastAsia" w:ascii="Arial" w:hAnsi="Arial" w:eastAsia="微软雅黑" w:cs="Arial"/>
          <w:sz w:val="24"/>
          <w:szCs w:val="24"/>
          <w:highlight w:val="none"/>
        </w:rPr>
      </w:pPr>
      <w:r>
        <w:rPr>
          <w:rFonts w:hint="eastAsia" w:ascii="Arial" w:hAnsi="Arial" w:eastAsia="微软雅黑" w:cs="Arial"/>
          <w:sz w:val="24"/>
          <w:szCs w:val="24"/>
          <w:highlight w:val="none"/>
          <w:lang w:val="en-US" w:eastAsia="zh-CN"/>
        </w:rPr>
        <w:t xml:space="preserve">关前级。 </w:t>
      </w:r>
    </w:p>
    <w:p>
      <w:pPr>
        <w:widowControl/>
        <w:ind w:firstLine="480" w:firstLineChars="200"/>
        <w:jc w:val="left"/>
        <w:rPr>
          <w:rFonts w:hint="eastAsia" w:ascii="Arial" w:hAnsi="Arial" w:eastAsia="微软雅黑" w:cs="Arial"/>
          <w:sz w:val="24"/>
          <w:szCs w:val="24"/>
          <w:highlight w:val="none"/>
        </w:rPr>
      </w:pPr>
      <w:r>
        <w:rPr>
          <w:rFonts w:ascii="Arial" w:hAnsi="Arial" w:eastAsia="微软雅黑" w:cs="Arial"/>
          <w:sz w:val="24"/>
          <w:szCs w:val="24"/>
          <w:highlight w:val="none"/>
        </w:rPr>
        <w:t>＊</w:t>
      </w:r>
      <w:r>
        <w:rPr>
          <w:rFonts w:hint="eastAsia" w:ascii="Arial" w:hAnsi="Arial" w:eastAsia="微软雅黑" w:cs="Arial"/>
          <w:sz w:val="24"/>
          <w:szCs w:val="24"/>
          <w:highlight w:val="none"/>
          <w:lang w:val="en-US" w:eastAsia="zh-CN"/>
        </w:rPr>
        <w:t xml:space="preserve">接地装置 </w:t>
      </w:r>
    </w:p>
    <w:p>
      <w:pPr>
        <w:widowControl/>
        <w:ind w:firstLine="480" w:firstLineChars="200"/>
        <w:jc w:val="left"/>
        <w:rPr>
          <w:rFonts w:hint="eastAsia" w:ascii="Arial" w:hAnsi="Arial" w:eastAsia="微软雅黑" w:cs="Arial"/>
          <w:sz w:val="24"/>
          <w:szCs w:val="24"/>
          <w:highlight w:val="no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991" w:bottom="1440" w:left="993" w:header="454" w:footer="907" w:gutter="0"/>
          <w:lnNumType w:countBy="0" w:restart="continuous"/>
          <w:cols w:space="425" w:num="1"/>
          <w:docGrid w:type="lines" w:linePitch="312" w:charSpace="0"/>
        </w:sectPr>
      </w:pPr>
      <w:r>
        <w:rPr>
          <w:rFonts w:hint="eastAsia" w:ascii="Arial" w:hAnsi="Arial" w:eastAsia="微软雅黑" w:cs="Arial"/>
          <w:sz w:val="24"/>
          <w:szCs w:val="24"/>
          <w:highlight w:val="none"/>
          <w:lang w:val="en-US" w:eastAsia="zh-CN"/>
        </w:rPr>
        <w:t>Ⅰ类设备，电源插头必须连接到带接地保护的电源输出插座上。</w:t>
      </w:r>
    </w:p>
    <w:p>
      <w:pPr>
        <w:pStyle w:val="2"/>
        <w:rPr>
          <w:rFonts w:hint="eastAsia"/>
        </w:rPr>
        <w:sectPr>
          <w:pgSz w:w="11906" w:h="16838"/>
          <w:pgMar w:top="1440" w:right="991" w:bottom="1440" w:left="993" w:header="454" w:footer="907" w:gutter="0"/>
          <w:lnNumType w:countBy="0" w:restart="continuous"/>
          <w:cols w:space="425" w:num="1"/>
          <w:docGrid w:type="lines" w:linePitch="312" w:charSpace="0"/>
        </w:sectPr>
      </w:pPr>
    </w:p>
    <w:sdt>
      <w:sdtPr>
        <w:rPr>
          <w:rFonts w:hint="eastAsia" w:ascii="微软雅黑" w:hAnsi="微软雅黑" w:eastAsia="微软雅黑" w:cs="微软雅黑"/>
          <w:kern w:val="2"/>
          <w:sz w:val="32"/>
          <w:szCs w:val="32"/>
          <w:lang w:val="en-US" w:eastAsia="zh-CN" w:bidi="ar-SA"/>
        </w:rPr>
        <w:id w:val="147482347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Times New Roman" w:eastAsia="宋体" w:cs="宋体"/>
          <w:color w:val="000000"/>
          <w:sz w:val="24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微软雅黑" w:hAnsi="微软雅黑" w:eastAsia="微软雅黑" w:cs="微软雅黑"/>
              <w:sz w:val="32"/>
              <w:szCs w:val="32"/>
            </w:rPr>
          </w:pPr>
          <w:r>
            <w:rPr>
              <w:rFonts w:hint="eastAsia" w:ascii="微软雅黑" w:hAnsi="微软雅黑" w:eastAsia="微软雅黑" w:cs="微软雅黑"/>
              <w:sz w:val="32"/>
              <w:szCs w:val="32"/>
            </w:rPr>
            <w:t>目录</w:t>
          </w:r>
        </w:p>
        <w:p>
          <w:pPr>
            <w:pStyle w:val="11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</w:rPr>
          </w:pPr>
          <w:r>
            <w:rPr>
              <w:rFonts w:hint="eastAsia"/>
            </w:rPr>
            <w:fldChar w:fldCharType="begin"/>
          </w:r>
          <w:r>
            <w:rPr>
              <w:rFonts w:hint="eastAsia"/>
            </w:rPr>
            <w:instrText xml:space="preserve">TOC \o "1-3" \h \u </w:instrText>
          </w:r>
          <w:r>
            <w:rPr>
              <w:rFonts w:hint="eastAsia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_Toc21556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kern w:val="0"/>
              <w:szCs w:val="36"/>
              <w:lang w:val="en-US" w:eastAsia="zh-CN" w:bidi="ar"/>
            </w:rPr>
            <w:t>一、产品特性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_Toc21556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6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2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_Toc16862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Cs w:val="30"/>
              <w:lang w:val="en-US" w:eastAsia="zh-CN" w:bidi="ar-SA"/>
            </w:rPr>
            <w:t>1.1接收机技术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_Toc16862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6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2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_Toc13458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Cs w:val="30"/>
              <w:lang w:val="en-US" w:eastAsia="zh-CN" w:bidi="ar-SA"/>
            </w:rPr>
            <w:t>1.2使用注意事项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_Toc13458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7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1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_Toc31053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Cs w:val="36"/>
              <w:lang w:val="en-US" w:eastAsia="zh-CN" w:bidi="ar-SA"/>
            </w:rPr>
            <w:t>二、产品参数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_Toc31053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8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2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_Toc9417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Cs w:val="30"/>
              <w:lang w:val="en-US" w:eastAsia="zh-CN" w:bidi="ar-SA"/>
            </w:rPr>
            <w:t>2.1系统指标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_Toc9417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8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2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_Toc1213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Cs w:val="28"/>
              <w:lang w:val="en-US" w:eastAsia="zh-CN" w:bidi="ar-SA"/>
            </w:rPr>
            <w:t>2.2接收机指标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_Toc1213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9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2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_Toc3928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Cs w:val="28"/>
              <w:lang w:val="en-US" w:eastAsia="zh-CN" w:bidi="ar-SA"/>
            </w:rPr>
            <w:t>2.3发射器指标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_Toc3928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9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1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_Toc15126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Cs w:val="36"/>
              <w:lang w:val="en-US" w:eastAsia="zh-CN" w:bidi="ar-SA"/>
            </w:rPr>
            <w:t>三、接收机各部分名称及功能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_Toc15126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9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2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_Toc13409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szCs w:val="30"/>
              <w:lang w:val="en-US" w:eastAsia="zh-CN"/>
            </w:rPr>
            <w:t>3.1 接收机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_Toc13409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9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2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_Toc30046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0"/>
              <w:szCs w:val="30"/>
              <w:lang w:val="en-US" w:eastAsia="zh-CN" w:bidi="ar-SA"/>
            </w:rPr>
            <w:t>3.2 发射器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_Toc30046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10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2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_Toc1146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szCs w:val="30"/>
              <w:lang w:val="en-US" w:eastAsia="zh-CN"/>
            </w:rPr>
            <w:t>3.3 LCD显示屏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_Toc1146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11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2"/>
            <w:tabs>
              <w:tab w:val="right" w:leader="dot" w:pos="9922"/>
            </w:tabs>
            <w:rPr>
              <w:rFonts w:hint="eastAsia" w:ascii="微软雅黑" w:hAnsi="微软雅黑" w:eastAsia="微软雅黑" w:cs="微软雅黑"/>
            </w:rPr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_Toc5849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Cs w:val="30"/>
              <w:lang w:val="en-US" w:eastAsia="zh-CN" w:bidi="ar-SA"/>
            </w:rPr>
            <w:t>3.4 操作说明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_Toc5849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12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11"/>
            <w:tabs>
              <w:tab w:val="right" w:leader="dot" w:pos="9922"/>
            </w:tabs>
          </w:pP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HYPERLINK \l _Toc16088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bCs/>
              <w:kern w:val="2"/>
              <w:szCs w:val="36"/>
              <w:lang w:val="en-US" w:eastAsia="zh-CN" w:bidi="ar-SA"/>
            </w:rPr>
            <w:t>四、简单故障处理</w:t>
          </w:r>
          <w:r>
            <w:rPr>
              <w:rFonts w:hint="eastAsia" w:ascii="微软雅黑" w:hAnsi="微软雅黑" w:eastAsia="微软雅黑" w:cs="微软雅黑"/>
            </w:rPr>
            <w:tab/>
          </w:r>
          <w:r>
            <w:rPr>
              <w:rFonts w:hint="eastAsia" w:ascii="微软雅黑" w:hAnsi="微软雅黑" w:eastAsia="微软雅黑" w:cs="微软雅黑"/>
            </w:rPr>
            <w:fldChar w:fldCharType="begin"/>
          </w:r>
          <w:r>
            <w:rPr>
              <w:rFonts w:hint="eastAsia" w:ascii="微软雅黑" w:hAnsi="微软雅黑" w:eastAsia="微软雅黑" w:cs="微软雅黑"/>
            </w:rPr>
            <w:instrText xml:space="preserve"> PAGEREF _Toc16088 \h </w:instrText>
          </w:r>
          <w:r>
            <w:rPr>
              <w:rFonts w:hint="eastAsia" w:ascii="微软雅黑" w:hAnsi="微软雅黑" w:eastAsia="微软雅黑" w:cs="微软雅黑"/>
            </w:rPr>
            <w:fldChar w:fldCharType="separate"/>
          </w:r>
          <w:r>
            <w:rPr>
              <w:rFonts w:hint="eastAsia" w:ascii="微软雅黑" w:hAnsi="微软雅黑" w:eastAsia="微软雅黑" w:cs="微软雅黑"/>
            </w:rPr>
            <w:t>12</w:t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  <w:r>
            <w:rPr>
              <w:rFonts w:hint="eastAsia" w:ascii="微软雅黑" w:hAnsi="微软雅黑" w:eastAsia="微软雅黑" w:cs="微软雅黑"/>
            </w:rPr>
            <w:fldChar w:fldCharType="end"/>
          </w:r>
        </w:p>
        <w:p>
          <w:pPr>
            <w:pStyle w:val="2"/>
            <w:rPr>
              <w:rFonts w:hint="eastAsia"/>
            </w:rPr>
            <w:sectPr>
              <w:pgSz w:w="11906" w:h="16838"/>
              <w:pgMar w:top="1440" w:right="991" w:bottom="1440" w:left="993" w:header="454" w:footer="907" w:gutter="0"/>
              <w:lnNumType w:countBy="0" w:restart="continuous"/>
              <w:cols w:space="425" w:num="1"/>
              <w:docGrid w:type="lines" w:linePitch="312" w:charSpace="0"/>
            </w:sectPr>
          </w:pPr>
          <w:r>
            <w:rPr>
              <w:rFonts w:hint="eastAsia"/>
            </w:rPr>
            <w:fldChar w:fldCharType="end"/>
          </w:r>
        </w:p>
      </w:sdtContent>
    </w:sdt>
    <w:p>
      <w:pPr>
        <w:widowControl/>
        <w:jc w:val="left"/>
        <w:outlineLvl w:val="0"/>
        <w:rPr>
          <w:rFonts w:hint="default" w:ascii="微软雅黑" w:hAnsi="微软雅黑" w:eastAsia="微软雅黑" w:cs="微软雅黑"/>
          <w:b/>
          <w:color w:val="000008"/>
          <w:kern w:val="0"/>
          <w:sz w:val="28"/>
          <w:szCs w:val="28"/>
          <w:lang w:val="en-US" w:eastAsia="zh-CN" w:bidi="ar"/>
        </w:rPr>
      </w:pPr>
      <w:bookmarkStart w:id="1" w:name="_Toc21556"/>
      <w:bookmarkStart w:id="14" w:name="_GoBack"/>
      <w:bookmarkEnd w:id="14"/>
      <w:r>
        <w:rPr>
          <w:rFonts w:hint="eastAsia" w:ascii="微软雅黑" w:hAnsi="微软雅黑" w:eastAsia="微软雅黑" w:cs="微软雅黑"/>
          <w:b/>
          <w:color w:val="000008"/>
          <w:kern w:val="0"/>
          <w:sz w:val="36"/>
          <w:szCs w:val="36"/>
          <w:lang w:val="en-US" w:eastAsia="zh-CN" w:bidi="ar"/>
        </w:rPr>
        <w:t>一、产品特性</w:t>
      </w:r>
      <w:bookmarkEnd w:id="1"/>
    </w:p>
    <w:p>
      <w:pPr>
        <w:pStyle w:val="2"/>
        <w:outlineLvl w:val="1"/>
        <w:rPr>
          <w:rFonts w:hint="default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</w:pPr>
      <w:bookmarkStart w:id="2" w:name="_Toc16862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1.1接收机技术</w:t>
      </w:r>
      <w:bookmarkEnd w:id="2"/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1.采用UHF双通道多频道设计，运用高精度锁相环频率合成PLL技术，传输更稳定；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2.具备540-590MHz，640-690MHz，740-790MHz，807-857MHz四个通道模块频率范围选择；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3.采用27-50MHz的频率带宽，以250KHz频道间隔，提供800个频道选择，轻松避开各类干扰；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4.主机具备2×1.8"高亮度LCD显示屏，可动态显示系统信号强度、音量、通道、频点数值、扫频等信息；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5.话筒具备1.8"高亮度、低功耗LCD显示屏，可动态显示单元电量、音量、通道等信息；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6.具备2个通道自动扫频功能，可自动过滤环境中易干扰的频率，选择最优环境下不受干扰的频率；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7.具备频道锁定功能，在锁定状态下可避免非正常操作改变当前各种已设定的参数，防止误操作；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8.每个通道具备独立接收灵敏度调节，调节范围为0-40，可根据实际需求调节每个话筒的灵敏度；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9.具备两路独立卡侬输出及一路6.35mm混合输出，可调节混合输出幅度，支持会议全程音频独立录音保存；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10.具备两路独立音量调节旋钮及四路独立红外对频窗口，方便音量调节及红外对频；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11.采用两组独立天线进行音频与数据传输，保证音质传输过程中更加稳定可靠；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12.具备两组四位功能控制键，可独立调节每个显示模块参数，具有显示屏独立开关按钮；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13.理想环境有效距离可达80米，具备自由发言工作模式，适用于各类高要求会议场合；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14.支持同环境多套同时使用，同频段可同时使用32个通道互相不会产生干扰；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15.无线鹅颈话筒、头戴话筒、领夹话筒、手持话筒可混合搭配使用，通用性强；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16.具备独立音量大小调节旋钮，可根据实际需求调节每个话筒的音量大小；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17.具备高低两种发射功率选择，可根据使用距离、数量多少来选择发射功率；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18.采用高灵敏度四芯平衡头戴话筒，确保拾音距离及声音质量；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19.具备双重供电方式，可采用2节AA电池或镍氢充电电池，或充电器直接供电使用；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20.采用低功耗设计，镍氢充电电池可连续使用10小时以上；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21.具备大功率ACT红外对频模组，可远距离红外对频；</w:t>
      </w:r>
    </w:p>
    <w:p>
      <w:p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22.采用外置DC12V电源适配器供电方式；</w:t>
      </w:r>
    </w:p>
    <w:p>
      <w:pPr>
        <w:pStyle w:val="2"/>
        <w:outlineLvl w:val="1"/>
        <w:rPr>
          <w:rFonts w:hint="eastAsia"/>
          <w:b/>
          <w:bCs/>
          <w:sz w:val="30"/>
          <w:szCs w:val="30"/>
        </w:rPr>
      </w:pPr>
      <w:bookmarkStart w:id="3" w:name="_Toc13458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1.2使用注意事项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1、如何正确使用手持无线麦克风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①手应握于麦克风中部，若太靠近网头，将会影响麦克风的拾音效果，太靠近底部天线位置，则会降低发射效率，减小使用距离。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②调节麦克风和嘴之间的距离，可以增减高低音。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2、如何正确使用接收机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①接收机分为分集接收机和非分集接收两大类，非分集比较经济，真分集则可以保证较远的距离不断讯，获得更远更好的传输效果，应根据需要合理选用。接收机采用全国天线时，天线离墙体(特别是金属体)应有0.5M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②接收范围和很多因素相关，变化很大，在传输方向无大型金属购件阻挡，可以获得更好的传输效果。如果接收条件不够理想，可以采用延长线，外接高增益天线，甚至天线放大器，可以达到非常明显的增距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3、在同一地点如何正确使用多套无线麦克风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①首先应选用无互调的频率配置，在25MHz带宽内，通常可以同时使用8只发射器，50MHz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宽可使用16只发射器，若需要使用更多套无线麦克风，需要配置其它频段机型。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②多套发射机共同使用时，各发射机至少相隔20CM，在满足传输距离的条件下，应使用小功率，以免产生互调干扰。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③若发射器设置于小功率，如KTV包房、学校教室等场合不受使用数量的限制。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④发射机通道之间所设频率尽量不要调节在等间距信道，如CHANNAL A设置在20频道时，其它三个通道应避免设置为40.80.100等，同通道所配置的四个发射机也应避免设置为等间距频道。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260" w:lineRule="atLeast"/>
        <w:jc w:val="left"/>
        <w:outlineLvl w:val="0"/>
        <w:rPr>
          <w:rFonts w:hint="default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</w:pPr>
      <w:bookmarkStart w:id="4" w:name="_Toc31053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  <w:t>二、产品参数</w:t>
      </w:r>
      <w:bookmarkEnd w:id="4"/>
    </w:p>
    <w:p>
      <w:pPr>
        <w:spacing w:line="260" w:lineRule="atLeast"/>
        <w:jc w:val="left"/>
        <w:outlineLvl w:val="1"/>
        <w:rPr>
          <w:rFonts w:hint="default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</w:pPr>
      <w:bookmarkStart w:id="5" w:name="_Toc9417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2.1系统指标</w:t>
      </w:r>
      <w:bookmarkEnd w:id="5"/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5"/>
        <w:gridCol w:w="4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05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频率范围</w:t>
            </w:r>
          </w:p>
        </w:tc>
        <w:tc>
          <w:tcPr>
            <w:tcW w:w="429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640-690MHz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05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调制方式</w:t>
            </w:r>
          </w:p>
        </w:tc>
        <w:tc>
          <w:tcPr>
            <w:tcW w:w="429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宽带FM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05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可调范围</w:t>
            </w:r>
          </w:p>
        </w:tc>
        <w:tc>
          <w:tcPr>
            <w:tcW w:w="429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50MHz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05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信道数目</w:t>
            </w:r>
          </w:p>
        </w:tc>
        <w:tc>
          <w:tcPr>
            <w:tcW w:w="429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05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信道问隔</w:t>
            </w:r>
          </w:p>
        </w:tc>
        <w:tc>
          <w:tcPr>
            <w:tcW w:w="429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250KHz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05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频率稳定度</w:t>
            </w:r>
          </w:p>
        </w:tc>
        <w:tc>
          <w:tcPr>
            <w:tcW w:w="429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士0.005%以内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05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动态范围</w:t>
            </w:r>
          </w:p>
        </w:tc>
        <w:tc>
          <w:tcPr>
            <w:tcW w:w="429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05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最大频偏</w:t>
            </w:r>
          </w:p>
        </w:tc>
        <w:tc>
          <w:tcPr>
            <w:tcW w:w="429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士45KHz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05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音频响应</w:t>
            </w:r>
          </w:p>
        </w:tc>
        <w:tc>
          <w:tcPr>
            <w:tcW w:w="429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80Hz-18KHz (士3dB)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05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综合信噪比</w:t>
            </w:r>
          </w:p>
        </w:tc>
        <w:tc>
          <w:tcPr>
            <w:tcW w:w="429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&gt; 105dB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005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综合失真</w:t>
            </w:r>
          </w:p>
        </w:tc>
        <w:tc>
          <w:tcPr>
            <w:tcW w:w="429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≤0.5%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005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工作温度</w:t>
            </w:r>
          </w:p>
        </w:tc>
        <w:tc>
          <w:tcPr>
            <w:tcW w:w="429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-10°C- +40°C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spacing w:line="260" w:lineRule="atLeast"/>
        <w:jc w:val="left"/>
        <w:outlineLvl w:val="1"/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</w:pPr>
      <w:bookmarkStart w:id="6" w:name="_Toc1213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  <w:t>2.2接收机指标</w:t>
      </w:r>
      <w:bookmarkEnd w:id="6"/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7"/>
        <w:gridCol w:w="4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087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按收机方式</w:t>
            </w:r>
          </w:p>
        </w:tc>
        <w:tc>
          <w:tcPr>
            <w:tcW w:w="422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二次变频超外差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087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中频频驱</w:t>
            </w:r>
          </w:p>
        </w:tc>
        <w:tc>
          <w:tcPr>
            <w:tcW w:w="422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110MHz,第中频10.7MHz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087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无线接口</w:t>
            </w:r>
          </w:p>
        </w:tc>
        <w:tc>
          <w:tcPr>
            <w:tcW w:w="422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BNC/50Q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087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灵敏度</w:t>
            </w:r>
          </w:p>
        </w:tc>
        <w:tc>
          <w:tcPr>
            <w:tcW w:w="422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12 dBuV (80dBS/N)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087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灵敏度调节范围</w:t>
            </w:r>
          </w:p>
        </w:tc>
        <w:tc>
          <w:tcPr>
            <w:tcW w:w="422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12-32 dBuV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087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杂散抑制</w:t>
            </w:r>
          </w:p>
        </w:tc>
        <w:tc>
          <w:tcPr>
            <w:tcW w:w="422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275dB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087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最大输出电平</w:t>
            </w:r>
          </w:p>
        </w:tc>
        <w:tc>
          <w:tcPr>
            <w:tcW w:w="4222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+10 dBV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spacing w:line="260" w:lineRule="atLeast"/>
        <w:jc w:val="left"/>
        <w:outlineLvl w:val="1"/>
        <w:rPr>
          <w:rFonts w:hint="default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</w:pPr>
      <w:bookmarkStart w:id="7" w:name="_Toc3928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  <w:t>2.3发射器指标</w:t>
      </w:r>
      <w:bookmarkEnd w:id="7"/>
    </w:p>
    <w:tbl>
      <w:tblPr>
        <w:tblStyle w:val="14"/>
        <w:tblW w:w="0" w:type="auto"/>
        <w:tblInd w:w="14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9"/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3079" w:type="dxa"/>
            <w:vAlign w:val="center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天线移式</w:t>
            </w:r>
          </w:p>
        </w:tc>
        <w:tc>
          <w:tcPr>
            <w:tcW w:w="5600" w:type="dxa"/>
            <w:vAlign w:val="center"/>
          </w:tcPr>
          <w:p>
            <w:pPr>
              <w:spacing w:line="260" w:lineRule="atLeast"/>
              <w:ind w:firstLine="400" w:firstLineChars="20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佩挂发射器采用1/4波长鞭状天线，手持麦克风内置螺旋天线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79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中频频率</w:t>
            </w:r>
          </w:p>
        </w:tc>
        <w:tc>
          <w:tcPr>
            <w:tcW w:w="5600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第一中频: 110MHz, 第二中频10.7MHz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79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输出功率</w:t>
            </w:r>
          </w:p>
        </w:tc>
        <w:tc>
          <w:tcPr>
            <w:tcW w:w="5600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高功率30mW:低功率3mW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79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杂散抑制</w:t>
            </w:r>
          </w:p>
        </w:tc>
        <w:tc>
          <w:tcPr>
            <w:tcW w:w="5600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-60dB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79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供电</w:t>
            </w:r>
          </w:p>
        </w:tc>
        <w:tc>
          <w:tcPr>
            <w:tcW w:w="5600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两节AA电池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79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使用时间</w:t>
            </w:r>
          </w:p>
        </w:tc>
        <w:tc>
          <w:tcPr>
            <w:tcW w:w="5600" w:type="dxa"/>
          </w:tcPr>
          <w:p>
            <w:pPr>
              <w:spacing w:line="260" w:lineRule="atLeast"/>
              <w:ind w:firstLine="400" w:firstLineChars="20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30mW时大于10个小时,3mW时大于15小时</w:t>
            </w:r>
          </w:p>
        </w:tc>
      </w:tr>
    </w:tbl>
    <w:p>
      <w:pPr>
        <w:numPr>
          <w:ilvl w:val="0"/>
          <w:numId w:val="0"/>
        </w:numPr>
        <w:spacing w:line="260" w:lineRule="atLeast"/>
        <w:jc w:val="left"/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</w:pPr>
    </w:p>
    <w:p>
      <w:pPr>
        <w:numPr>
          <w:ilvl w:val="0"/>
          <w:numId w:val="0"/>
        </w:numPr>
        <w:spacing w:line="260" w:lineRule="atLeast"/>
        <w:jc w:val="left"/>
        <w:outlineLvl w:val="0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bookmarkStart w:id="8" w:name="_Toc15126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  <w:t>三、接收机各部分名称及功能</w:t>
      </w:r>
      <w:bookmarkEnd w:id="8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8"/>
          <w:szCs w:val="28"/>
          <w:lang w:val="en-US" w:eastAsia="zh-CN" w:bidi="ar-SA"/>
        </w:rPr>
        <w:t xml:space="preserve">       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 xml:space="preserve">              </w:t>
      </w:r>
    </w:p>
    <w:p>
      <w:pPr>
        <w:pStyle w:val="2"/>
        <w:outlineLvl w:val="1"/>
        <w:rPr>
          <w:rFonts w:hint="default"/>
          <w:b/>
          <w:bCs/>
          <w:lang w:val="en-US" w:eastAsia="zh-CN"/>
        </w:rPr>
      </w:pPr>
      <w:bookmarkStart w:id="9" w:name="_Toc13409"/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3.1 接收机</w:t>
      </w: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drawing>
          <wp:inline distT="0" distB="0" distL="114300" distR="114300">
            <wp:extent cx="5992495" cy="3177540"/>
            <wp:effectExtent l="0" t="0" r="0" b="0"/>
            <wp:docPr id="8" name="图片 8" descr="无线接收发射器说明书(2)5.300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无线接收发射器说明书(2)5.300-07"/>
                    <pic:cNvPicPr>
                      <a:picLocks noChangeAspect="1"/>
                    </pic:cNvPicPr>
                  </pic:nvPicPr>
                  <pic:blipFill>
                    <a:blip r:embed="rId6"/>
                    <a:srcRect l="3893" t="20976" r="6264" b="13761"/>
                    <a:stretch>
                      <a:fillRect/>
                    </a:stretch>
                  </pic:blipFill>
                  <pic:spPr>
                    <a:xfrm>
                      <a:off x="0" y="0"/>
                      <a:ext cx="5992495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</w:p>
    <w:p>
      <w:pPr>
        <w:numPr>
          <w:ilvl w:val="0"/>
          <w:numId w:val="0"/>
        </w:numPr>
        <w:spacing w:line="260" w:lineRule="atLeast"/>
        <w:ind w:left="120" w:leftChars="0"/>
        <w:jc w:val="left"/>
        <w:outlineLvl w:val="9"/>
        <w:rPr>
          <w:rFonts w:hint="eastAsia" w:ascii="Arial" w:hAnsi="Arial" w:eastAsia="微软雅黑" w:cs="Arial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60" w:lineRule="atLeast"/>
        <w:ind w:left="120" w:leftChars="0"/>
        <w:jc w:val="left"/>
        <w:outlineLvl w:val="9"/>
        <w:rPr>
          <w:rFonts w:hint="eastAsia" w:ascii="Arial" w:hAnsi="Arial" w:eastAsia="微软雅黑" w:cs="Arial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60" w:lineRule="atLeast"/>
        <w:ind w:left="120" w:leftChars="0"/>
        <w:jc w:val="left"/>
        <w:outlineLvl w:val="1"/>
        <w:rPr>
          <w:rFonts w:hint="eastAsia" w:ascii="Arial" w:hAnsi="Arial" w:eastAsia="微软雅黑" w:cs="Arial"/>
          <w:b/>
          <w:bCs/>
          <w:sz w:val="24"/>
          <w:szCs w:val="24"/>
          <w:lang w:val="en-US" w:eastAsia="zh-CN"/>
        </w:rPr>
      </w:pPr>
      <w:bookmarkStart w:id="10" w:name="_Toc30046"/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  <w:lang w:val="en-US" w:eastAsia="zh-CN" w:bidi="ar-SA"/>
        </w:rPr>
        <w:t>3.2 发射器</w:t>
      </w:r>
      <w:bookmarkEnd w:id="10"/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  <w:lang w:val="en-US" w:eastAsia="zh-CN" w:bidi="ar-SA"/>
        </w:rPr>
        <w:t xml:space="preserve">   </w:t>
      </w:r>
      <w:r>
        <w:rPr>
          <w:rFonts w:hint="eastAsia" w:ascii="Arial" w:hAnsi="Arial" w:eastAsia="微软雅黑" w:cs="Arial"/>
          <w:b/>
          <w:bCs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260" w:lineRule="atLeast"/>
        <w:ind w:left="120" w:leftChars="0"/>
        <w:jc w:val="center"/>
        <w:rPr>
          <w:rFonts w:hint="eastAsia" w:ascii="Arial" w:hAnsi="Arial" w:eastAsia="微软雅黑" w:cs="Arial"/>
          <w:b/>
          <w:bCs/>
          <w:sz w:val="24"/>
          <w:szCs w:val="24"/>
          <w:lang w:val="en-US" w:eastAsia="zh-CN"/>
        </w:rPr>
      </w:pPr>
      <w:r>
        <w:rPr>
          <w:rFonts w:hint="eastAsia" w:ascii="Arial" w:hAnsi="Arial" w:eastAsia="微软雅黑" w:cs="Arial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4115435" cy="2993390"/>
            <wp:effectExtent l="0" t="0" r="0" b="0"/>
            <wp:docPr id="4" name="图片 4" descr="绿色屏幕一拖二领夹有机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绿色屏幕一拖二领夹有机片"/>
                    <pic:cNvPicPr>
                      <a:picLocks noChangeAspect="1"/>
                    </pic:cNvPicPr>
                  </pic:nvPicPr>
                  <pic:blipFill>
                    <a:blip r:embed="rId7"/>
                    <a:srcRect l="20696" t="6046" r="8643" b="9077"/>
                    <a:stretch>
                      <a:fillRect/>
                    </a:stretch>
                  </pic:blipFill>
                  <pic:spPr>
                    <a:xfrm>
                      <a:off x="0" y="0"/>
                      <a:ext cx="4115435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60" w:lineRule="atLeast"/>
        <w:ind w:left="120" w:leftChars="0"/>
        <w:jc w:val="left"/>
        <w:outlineLvl w:val="9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260" w:lineRule="atLeast"/>
        <w:ind w:left="120" w:leftChars="0"/>
        <w:jc w:val="left"/>
        <w:outlineLvl w:val="9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260" w:lineRule="atLeast"/>
        <w:ind w:left="120" w:leftChars="0" w:firstLine="300" w:firstLineChars="100"/>
        <w:jc w:val="left"/>
        <w:outlineLvl w:val="1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bookmarkStart w:id="11" w:name="_Toc1146"/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3.3 LCD显示屏</w:t>
      </w:r>
      <w:bookmarkEnd w:id="11"/>
    </w:p>
    <w:p>
      <w:pPr>
        <w:numPr>
          <w:ilvl w:val="0"/>
          <w:numId w:val="0"/>
        </w:numPr>
        <w:spacing w:line="260" w:lineRule="atLeast"/>
        <w:jc w:val="left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60" w:lineRule="atLeast"/>
        <w:ind w:left="120" w:leftChars="0"/>
        <w:jc w:val="center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drawing>
          <wp:inline distT="0" distB="0" distL="114300" distR="114300">
            <wp:extent cx="4983480" cy="1861185"/>
            <wp:effectExtent l="0" t="0" r="0" b="0"/>
            <wp:docPr id="9" name="图片 9" descr="无线接收发射器说明书(2)5.30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无线接收发射器说明书(2)5.301-07"/>
                    <pic:cNvPicPr>
                      <a:picLocks noChangeAspect="1"/>
                    </pic:cNvPicPr>
                  </pic:nvPicPr>
                  <pic:blipFill>
                    <a:blip r:embed="rId8"/>
                    <a:srcRect l="8198" t="29563" r="2383" b="24686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drawing>
          <wp:inline distT="0" distB="0" distL="114300" distR="114300">
            <wp:extent cx="6383020" cy="5259070"/>
            <wp:effectExtent l="0" t="0" r="0" b="0"/>
            <wp:docPr id="10" name="图片 10" descr="无线接收发射器说明书(2)5.30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无线接收发射器说明书(2)5.30-08"/>
                    <pic:cNvPicPr>
                      <a:picLocks noChangeAspect="1"/>
                    </pic:cNvPicPr>
                  </pic:nvPicPr>
                  <pic:blipFill>
                    <a:blip r:embed="rId9"/>
                    <a:srcRect l="4753" t="22485" r="7587" b="22283"/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52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outlineLvl w:val="1"/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</w:pPr>
      <w:bookmarkStart w:id="12" w:name="_Toc5849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0"/>
          <w:szCs w:val="30"/>
          <w:lang w:val="en-US" w:eastAsia="zh-CN" w:bidi="ar-SA"/>
        </w:rPr>
        <w:t>3.4 操作说明</w:t>
      </w:r>
      <w:bookmarkEnd w:id="12"/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打开电源后，LED 背光灯亮，液晶同时显示当前工作频道及电池电量。</w:t>
      </w:r>
    </w:p>
    <w:p>
      <w:pPr>
        <w:numPr>
          <w:ilvl w:val="0"/>
          <w:numId w:val="0"/>
        </w:numPr>
        <w:spacing w:line="260" w:lineRule="atLeast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2.若需更改工作频道，应首先改变接收机频道，然后将发射机和接收机上红外对频窗口对准，并按接收机上的"SET" 。新的信道参数就会传至发射机，调节上下按键可进行信道、频率选择。</w:t>
      </w:r>
    </w:p>
    <w:p>
      <w:pPr>
        <w:spacing w:line="260" w:lineRule="atLeast"/>
        <w:ind w:firstLine="480" w:firstLineChars="200"/>
        <w:jc w:val="left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pStyle w:val="2"/>
        <w:outlineLvl w:val="9"/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</w:pPr>
    </w:p>
    <w:p>
      <w:pPr>
        <w:pStyle w:val="2"/>
        <w:outlineLvl w:val="0"/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</w:pPr>
      <w:bookmarkStart w:id="13" w:name="_Toc16088"/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36"/>
          <w:szCs w:val="36"/>
          <w:lang w:val="en-US" w:eastAsia="zh-CN" w:bidi="ar-SA"/>
        </w:rPr>
        <w:t>四、简单故障处理</w:t>
      </w:r>
      <w:bookmarkEnd w:id="13"/>
    </w:p>
    <w:p>
      <w:pPr>
        <w:pStyle w:val="2"/>
        <w:rPr>
          <w:rFonts w:hint="eastAsia" w:ascii="Arial" w:hAnsi="Arial" w:eastAsia="微软雅黑" w:cs="Arial"/>
          <w:b/>
          <w:bCs/>
          <w:sz w:val="24"/>
          <w:szCs w:val="24"/>
          <w:lang w:val="en-US" w:eastAsia="zh-CN"/>
        </w:rPr>
      </w:pPr>
    </w:p>
    <w:tbl>
      <w:tblPr>
        <w:tblStyle w:val="14"/>
        <w:tblW w:w="10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6"/>
        <w:gridCol w:w="6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086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故障现象</w:t>
            </w: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故障原因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086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收发机无指示：</w:t>
            </w: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发射器电池耗尽，接收机电源未接好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086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接收机无射频信号：</w:t>
            </w: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收发不同频或超出接收范围。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086" w:type="dxa"/>
            <w:vMerge w:val="restart"/>
            <w:vAlign w:val="top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有射频信号，但无音频信号</w:t>
            </w: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导音电路故障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08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发射机麦克风未接入或接收机输出电平过高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08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设置"静音“模式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8" w:hRule="atLeast"/>
        </w:trPr>
        <w:tc>
          <w:tcPr>
            <w:tcW w:w="4086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音频信号背景噪声太大</w:t>
            </w: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发射调制频偏太小，接收输出电平低，也许有干扰信后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086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音频信号失真</w:t>
            </w: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发射机调制频偏大，接收机输出电平过高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086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使用距离较短，信号不稳定</w:t>
            </w: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发射机设置在小功率，接收机静噪太深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086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6133" w:type="dxa"/>
            <w:vAlign w:val="center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接收机天线设置不当，周围有强电磁干扰</w:t>
            </w:r>
          </w:p>
        </w:tc>
      </w:tr>
    </w:tbl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  <w:r>
        <w:rPr>
          <w:rFonts w:hint="eastAsia" w:ascii="Arial" w:hAnsi="Arial" w:eastAsia="微软雅黑" w:cs="Arial"/>
          <w:sz w:val="24"/>
          <w:szCs w:val="24"/>
          <w:lang w:val="en-US" w:eastAsia="zh-CN"/>
        </w:rPr>
        <w:t>如果出现的故障不包含在上表，切勿自行拆开修理，请接洽厂家或当地经销商。</w:t>
      </w: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p>
      <w:pPr>
        <w:pStyle w:val="2"/>
        <w:rPr>
          <w:rFonts w:hint="eastAsia" w:ascii="Arial" w:hAnsi="Arial" w:eastAsia="微软雅黑" w:cs="Arial"/>
          <w:sz w:val="24"/>
          <w:szCs w:val="24"/>
          <w:lang w:val="en-US" w:eastAsia="zh-CN"/>
        </w:rPr>
      </w:pPr>
    </w:p>
    <w:sectPr>
      <w:pgSz w:w="11906" w:h="16838"/>
      <w:pgMar w:top="1440" w:right="991" w:bottom="1440" w:left="993" w:header="454" w:footer="907" w:gutter="0"/>
      <w:lnNumType w:countBy="0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5711190</wp:posOffset>
          </wp:positionH>
          <wp:positionV relativeFrom="paragraph">
            <wp:posOffset>137160</wp:posOffset>
          </wp:positionV>
          <wp:extent cx="575945" cy="575310"/>
          <wp:effectExtent l="0" t="0" r="5080" b="5715"/>
          <wp:wrapSquare wrapText="bothSides"/>
          <wp:docPr id="15" name="图片 15" descr="C:\Users\PumpkinPotato\Desktop\微信公众号.png微信公众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5" descr="C:\Users\PumpkinPotato\Desktop\微信公众号.png微信公众号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t xml:space="preserve"> </w:t>
    </w:r>
    <w:r>
      <w:rPr>
        <w:rFonts w:hint="eastAsia"/>
      </w:rPr>
      <w:drawing>
        <wp:inline distT="0" distB="0" distL="114300" distR="114300">
          <wp:extent cx="3731260" cy="695325"/>
          <wp:effectExtent l="0" t="0" r="2540" b="0"/>
          <wp:docPr id="6" name="图片 6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页脚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3126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hint="eastAsia"/>
      </w:rPr>
      <w:t xml:space="preserve">                </w:t>
    </w:r>
  </w:p>
  <w:p>
    <w:pPr>
      <w:pStyle w:val="9"/>
      <w:ind w:right="600"/>
      <w:jc w:val="right"/>
    </w:pP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>页码：第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PAGE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1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  <w:lang w:val="zh-CN"/>
      </w:rPr>
      <w:t xml:space="preserve"> /共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begin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instrText xml:space="preserve">NUMPAGES  \* Arabic  \* MERGEFORMAT</w:instrTex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separate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4</w:t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fldChar w:fldCharType="end"/>
    </w:r>
    <w:r>
      <w:rPr>
        <w:rFonts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>页</w:t>
    </w:r>
    <w:r>
      <w:rPr>
        <w:rFonts w:hint="eastAsia" w:ascii="Times New Roman" w:hAnsi="Times New Roman" w:eastAsia="宋体" w:cs="Times New Roman"/>
        <w:b/>
        <w:bCs/>
        <w:color w:val="171A1D"/>
        <w:sz w:val="20"/>
        <w:szCs w:val="20"/>
        <w:shd w:val="clear" w:color="auto" w:fill="FFFFFF"/>
      </w:rPr>
      <w:t xml:space="preserve"> </w:t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ab/>
    </w:r>
    <w:r>
      <w:rPr>
        <w:rFonts w:ascii="Times New Roman" w:hAnsi="Times New Roman" w:eastAsia="宋体" w:cs="Times New Roman"/>
        <w:color w:val="171A1D"/>
        <w:sz w:val="20"/>
        <w:szCs w:val="20"/>
        <w:shd w:val="clear" w:color="auto" w:fill="FFFFFF"/>
      </w:rPr>
      <w:t xml:space="preserve">      表单号：BD-CPCTY-0001 A0</w:t>
    </w:r>
    <w:r>
      <w:rPr>
        <w:rFonts w:ascii="Times New Roman" w:hAnsi="Times New Roman" w:eastAsia="宋体" w:cs="Times New Roman"/>
        <w:sz w:val="20"/>
        <w:szCs w:val="20"/>
      </w:rPr>
      <w:t xml:space="preserve">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  <w:r>
      <w:drawing>
        <wp:inline distT="0" distB="0" distL="114300" distR="114300">
          <wp:extent cx="2204085" cy="683895"/>
          <wp:effectExtent l="0" t="0" r="5715" b="190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0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 xml:space="preserve">   </w:t>
    </w:r>
    <w:r>
      <w:rPr>
        <w:rFonts w:hint="eastAsia"/>
        <w:lang w:val="en-US" w:eastAsia="zh-CN"/>
      </w:rPr>
      <w:t xml:space="preserve">                        </w:t>
    </w:r>
    <w:r>
      <w:rPr>
        <w:rFonts w:hint="eastAsia"/>
      </w:rPr>
      <w:t xml:space="preserve">  </w:t>
    </w:r>
    <w:r>
      <w:rPr>
        <w:rFonts w:hint="eastAsia" w:eastAsiaTheme="minorEastAsia"/>
        <w:lang w:eastAsia="zh-CN"/>
      </w:rPr>
      <w:drawing>
        <wp:inline distT="0" distB="0" distL="114300" distR="114300">
          <wp:extent cx="2376805" cy="713740"/>
          <wp:effectExtent l="0" t="0" r="4445" b="635"/>
          <wp:docPr id="3" name="图片 3" descr="页眉右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眉右边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04F47E"/>
    <w:multiLevelType w:val="singleLevel"/>
    <w:tmpl w:val="2B04F4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2NDY4NDdlNzRkMWM2MjI0MmUwZDhlMTI5NTg1YWEifQ=="/>
  </w:docVars>
  <w:rsids>
    <w:rsidRoot w:val="00EE2239"/>
    <w:rsid w:val="00034552"/>
    <w:rsid w:val="00086AFE"/>
    <w:rsid w:val="00093538"/>
    <w:rsid w:val="000A64E2"/>
    <w:rsid w:val="000B3DFC"/>
    <w:rsid w:val="000F5B6D"/>
    <w:rsid w:val="00102DB8"/>
    <w:rsid w:val="001128B1"/>
    <w:rsid w:val="00131FEB"/>
    <w:rsid w:val="00132C8D"/>
    <w:rsid w:val="001343A8"/>
    <w:rsid w:val="00157397"/>
    <w:rsid w:val="0017241F"/>
    <w:rsid w:val="001E03F6"/>
    <w:rsid w:val="00210A86"/>
    <w:rsid w:val="0029030D"/>
    <w:rsid w:val="00295F7B"/>
    <w:rsid w:val="002B3994"/>
    <w:rsid w:val="002C6ADA"/>
    <w:rsid w:val="002D6FB1"/>
    <w:rsid w:val="00315BB1"/>
    <w:rsid w:val="0035080F"/>
    <w:rsid w:val="00352C00"/>
    <w:rsid w:val="003D75DC"/>
    <w:rsid w:val="003F266E"/>
    <w:rsid w:val="00400A93"/>
    <w:rsid w:val="00432739"/>
    <w:rsid w:val="00457C71"/>
    <w:rsid w:val="004773A2"/>
    <w:rsid w:val="004A22AA"/>
    <w:rsid w:val="004A6AB6"/>
    <w:rsid w:val="004B6616"/>
    <w:rsid w:val="004D7995"/>
    <w:rsid w:val="004E30D0"/>
    <w:rsid w:val="004F3B59"/>
    <w:rsid w:val="00504BAC"/>
    <w:rsid w:val="0051138D"/>
    <w:rsid w:val="00514AFB"/>
    <w:rsid w:val="0053098E"/>
    <w:rsid w:val="00552C74"/>
    <w:rsid w:val="005701E6"/>
    <w:rsid w:val="00583456"/>
    <w:rsid w:val="00590301"/>
    <w:rsid w:val="00592132"/>
    <w:rsid w:val="005A7A0C"/>
    <w:rsid w:val="005B0A3E"/>
    <w:rsid w:val="005C604B"/>
    <w:rsid w:val="006026D1"/>
    <w:rsid w:val="006355BE"/>
    <w:rsid w:val="00655A27"/>
    <w:rsid w:val="006854D3"/>
    <w:rsid w:val="006B2397"/>
    <w:rsid w:val="006C5CB9"/>
    <w:rsid w:val="006E75AA"/>
    <w:rsid w:val="007067D8"/>
    <w:rsid w:val="00773493"/>
    <w:rsid w:val="0077496E"/>
    <w:rsid w:val="00790D07"/>
    <w:rsid w:val="007B412B"/>
    <w:rsid w:val="007B5223"/>
    <w:rsid w:val="0080459E"/>
    <w:rsid w:val="008C43E8"/>
    <w:rsid w:val="00906440"/>
    <w:rsid w:val="00916CC4"/>
    <w:rsid w:val="00917A5E"/>
    <w:rsid w:val="0093237D"/>
    <w:rsid w:val="00950714"/>
    <w:rsid w:val="00983086"/>
    <w:rsid w:val="009C02FC"/>
    <w:rsid w:val="009D2E7B"/>
    <w:rsid w:val="009D4C9F"/>
    <w:rsid w:val="00A00E7B"/>
    <w:rsid w:val="00A543DF"/>
    <w:rsid w:val="00A55A95"/>
    <w:rsid w:val="00A66659"/>
    <w:rsid w:val="00A837FF"/>
    <w:rsid w:val="00AB2232"/>
    <w:rsid w:val="00AB7A25"/>
    <w:rsid w:val="00AF25A0"/>
    <w:rsid w:val="00AF7A26"/>
    <w:rsid w:val="00B465D8"/>
    <w:rsid w:val="00B55148"/>
    <w:rsid w:val="00B557FF"/>
    <w:rsid w:val="00B72D1A"/>
    <w:rsid w:val="00BB08E1"/>
    <w:rsid w:val="00BC2526"/>
    <w:rsid w:val="00C10124"/>
    <w:rsid w:val="00C13E44"/>
    <w:rsid w:val="00C171C3"/>
    <w:rsid w:val="00C41ADF"/>
    <w:rsid w:val="00D26A4B"/>
    <w:rsid w:val="00D2756F"/>
    <w:rsid w:val="00D32400"/>
    <w:rsid w:val="00D706BE"/>
    <w:rsid w:val="00D84E81"/>
    <w:rsid w:val="00DC52F9"/>
    <w:rsid w:val="00E21325"/>
    <w:rsid w:val="00E32342"/>
    <w:rsid w:val="00E523E0"/>
    <w:rsid w:val="00E67346"/>
    <w:rsid w:val="00EC3907"/>
    <w:rsid w:val="00EE2239"/>
    <w:rsid w:val="00F35BB0"/>
    <w:rsid w:val="00F41DB5"/>
    <w:rsid w:val="00F67EB6"/>
    <w:rsid w:val="00FC211B"/>
    <w:rsid w:val="00FD01D8"/>
    <w:rsid w:val="057E74F5"/>
    <w:rsid w:val="08940DB3"/>
    <w:rsid w:val="092D5391"/>
    <w:rsid w:val="097D4F5F"/>
    <w:rsid w:val="0BE81B6C"/>
    <w:rsid w:val="101C440E"/>
    <w:rsid w:val="114E06C3"/>
    <w:rsid w:val="117619C8"/>
    <w:rsid w:val="125F3DCD"/>
    <w:rsid w:val="15E2762C"/>
    <w:rsid w:val="16852CE2"/>
    <w:rsid w:val="16CA259A"/>
    <w:rsid w:val="17283A6B"/>
    <w:rsid w:val="17D80473"/>
    <w:rsid w:val="183028D1"/>
    <w:rsid w:val="18D94D16"/>
    <w:rsid w:val="18E764B7"/>
    <w:rsid w:val="1C024584"/>
    <w:rsid w:val="1D61352C"/>
    <w:rsid w:val="1E7B061E"/>
    <w:rsid w:val="1F10520A"/>
    <w:rsid w:val="1F14208B"/>
    <w:rsid w:val="207F7B8E"/>
    <w:rsid w:val="21F11323"/>
    <w:rsid w:val="22EA5D72"/>
    <w:rsid w:val="2398039C"/>
    <w:rsid w:val="24A73F0C"/>
    <w:rsid w:val="25BE7EB3"/>
    <w:rsid w:val="2A6428AE"/>
    <w:rsid w:val="2A64640A"/>
    <w:rsid w:val="2B847C6D"/>
    <w:rsid w:val="2D1C7470"/>
    <w:rsid w:val="2D870D8D"/>
    <w:rsid w:val="2E335B48"/>
    <w:rsid w:val="302C5C1C"/>
    <w:rsid w:val="311A1F18"/>
    <w:rsid w:val="315E1E05"/>
    <w:rsid w:val="32130E41"/>
    <w:rsid w:val="331704BD"/>
    <w:rsid w:val="340547BA"/>
    <w:rsid w:val="37960F73"/>
    <w:rsid w:val="3825367C"/>
    <w:rsid w:val="38CC3AF8"/>
    <w:rsid w:val="39BD040F"/>
    <w:rsid w:val="3A9C797B"/>
    <w:rsid w:val="3BC66F24"/>
    <w:rsid w:val="3DFC6C2D"/>
    <w:rsid w:val="3DFE0BF8"/>
    <w:rsid w:val="3E8A248B"/>
    <w:rsid w:val="3EC748E0"/>
    <w:rsid w:val="3F163D1F"/>
    <w:rsid w:val="419E1CA0"/>
    <w:rsid w:val="445F194D"/>
    <w:rsid w:val="49C8030C"/>
    <w:rsid w:val="4A056E6A"/>
    <w:rsid w:val="4D063625"/>
    <w:rsid w:val="4E870795"/>
    <w:rsid w:val="4E9764FE"/>
    <w:rsid w:val="4EA8496E"/>
    <w:rsid w:val="503E4E84"/>
    <w:rsid w:val="50BB2978"/>
    <w:rsid w:val="525C3CE7"/>
    <w:rsid w:val="538C05FC"/>
    <w:rsid w:val="552F7491"/>
    <w:rsid w:val="56755377"/>
    <w:rsid w:val="57160908"/>
    <w:rsid w:val="59417793"/>
    <w:rsid w:val="5A737E20"/>
    <w:rsid w:val="5AFC6067"/>
    <w:rsid w:val="5B5A4166"/>
    <w:rsid w:val="5C0C052C"/>
    <w:rsid w:val="5CD5091E"/>
    <w:rsid w:val="5D9E51B4"/>
    <w:rsid w:val="60600E46"/>
    <w:rsid w:val="61AA1D5B"/>
    <w:rsid w:val="62053A53"/>
    <w:rsid w:val="64BE25DF"/>
    <w:rsid w:val="65235B46"/>
    <w:rsid w:val="668C4743"/>
    <w:rsid w:val="677671A1"/>
    <w:rsid w:val="690A736D"/>
    <w:rsid w:val="69586B5E"/>
    <w:rsid w:val="6C044D7B"/>
    <w:rsid w:val="6DC01176"/>
    <w:rsid w:val="6F80296B"/>
    <w:rsid w:val="70DE57F8"/>
    <w:rsid w:val="728704B4"/>
    <w:rsid w:val="746C5BB4"/>
    <w:rsid w:val="75EC283D"/>
    <w:rsid w:val="77BE6DDB"/>
    <w:rsid w:val="77BF424C"/>
    <w:rsid w:val="7BFC5A6F"/>
    <w:rsid w:val="7DD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link w:val="24"/>
    <w:qFormat/>
    <w:uiPriority w:val="9"/>
    <w:pPr>
      <w:spacing w:before="340" w:after="330" w:line="578" w:lineRule="auto"/>
      <w:outlineLvl w:val="0"/>
    </w:pPr>
    <w:rPr>
      <w:kern w:val="44"/>
      <w:sz w:val="44"/>
      <w:szCs w:val="44"/>
    </w:rPr>
  </w:style>
  <w:style w:type="paragraph" w:styleId="4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9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7">
    <w:name w:val="Body Text"/>
    <w:basedOn w:val="1"/>
    <w:qFormat/>
    <w:uiPriority w:val="1"/>
    <w:pPr>
      <w:spacing w:before="115"/>
      <w:ind w:left="600"/>
    </w:pPr>
    <w:rPr>
      <w:rFonts w:ascii="宋体" w:hAnsi="宋体"/>
      <w:sz w:val="20"/>
      <w:szCs w:val="20"/>
    </w:rPr>
  </w:style>
  <w:style w:type="paragraph" w:styleId="8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semiHidden/>
    <w:unhideWhenUsed/>
    <w:uiPriority w:val="39"/>
    <w:pPr>
      <w:ind w:left="420" w:leftChars="200"/>
    </w:p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18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19">
    <w:name w:val="批注框文本 字符"/>
    <w:basedOn w:val="15"/>
    <w:link w:val="8"/>
    <w:semiHidden/>
    <w:qFormat/>
    <w:uiPriority w:val="99"/>
    <w:rPr>
      <w:sz w:val="18"/>
      <w:szCs w:val="18"/>
    </w:rPr>
  </w:style>
  <w:style w:type="character" w:customStyle="1" w:styleId="20">
    <w:name w:val="标题 3 字符"/>
    <w:basedOn w:val="15"/>
    <w:link w:val="5"/>
    <w:qFormat/>
    <w:uiPriority w:val="9"/>
    <w:rPr>
      <w:b/>
      <w:sz w:val="32"/>
    </w:rPr>
  </w:style>
  <w:style w:type="character" w:customStyle="1" w:styleId="21">
    <w:name w:val="标题 2 字符"/>
    <w:basedOn w:val="15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列表段落1"/>
    <w:basedOn w:val="1"/>
    <w:qFormat/>
    <w:uiPriority w:val="34"/>
    <w:pPr>
      <w:ind w:firstLine="420" w:firstLineChars="200"/>
    </w:p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字符"/>
    <w:basedOn w:val="15"/>
    <w:link w:val="3"/>
    <w:qFormat/>
    <w:uiPriority w:val="9"/>
    <w:rPr>
      <w:b/>
      <w:bCs/>
      <w:kern w:val="44"/>
      <w:sz w:val="44"/>
      <w:szCs w:val="44"/>
    </w:rPr>
  </w:style>
  <w:style w:type="paragraph" w:customStyle="1" w:styleId="25">
    <w:name w:val="TOC 标题1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6">
    <w:name w:val="图片"/>
    <w:basedOn w:val="1"/>
    <w:qFormat/>
    <w:uiPriority w:val="0"/>
    <w:pPr>
      <w:spacing w:before="50" w:beforeLines="50" w:line="480" w:lineRule="auto"/>
      <w:jc w:val="center"/>
    </w:pPr>
    <w:rPr>
      <w:rFonts w:ascii="Times New Roman" w:hAnsi="Times New Roman" w:cs="Times New Roman"/>
      <w:color w:val="000000"/>
      <w:kern w:val="0"/>
      <w:sz w:val="19"/>
      <w:szCs w:val="19"/>
      <w:lang w:val="zh-CN" w:bidi="zh-CN"/>
    </w:rPr>
  </w:style>
  <w:style w:type="paragraph" w:customStyle="1" w:styleId="27">
    <w:name w:val="样式1"/>
    <w:basedOn w:val="3"/>
    <w:next w:val="1"/>
    <w:qFormat/>
    <w:uiPriority w:val="0"/>
    <w:pPr>
      <w:spacing w:before="100" w:after="90"/>
    </w:pPr>
  </w:style>
  <w:style w:type="paragraph" w:customStyle="1" w:styleId="28">
    <w:name w:val="样式2"/>
    <w:basedOn w:val="3"/>
    <w:next w:val="1"/>
    <w:qFormat/>
    <w:uiPriority w:val="0"/>
    <w:pPr>
      <w:spacing w:before="120" w:after="120" w:line="360" w:lineRule="auto"/>
    </w:pPr>
  </w:style>
  <w:style w:type="paragraph" w:customStyle="1" w:styleId="29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0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1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0060-F4E9-4DD0-AFA0-A2E37B7990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2775</Words>
  <Characters>3108</Characters>
  <Lines>6</Lines>
  <Paragraphs>1</Paragraphs>
  <TotalTime>1</TotalTime>
  <ScaleCrop>false</ScaleCrop>
  <LinksUpToDate>false</LinksUpToDate>
  <CharactersWithSpaces>3162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2022-11-15T03:05:00Z</dcterms:created>
  <dc:creator>Sky123.Org</dc:creator>
  <cp:lastModifiedBy>Thorns</cp:lastModifiedBy>
  <cp:lastPrinted>2022-11-15T03:28:00Z</cp:lastPrinted>
  <dcterms:modified xsi:type="dcterms:W3CDTF">2022-12-15T05:38:57Z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8B51F926EF704C2B955A44382297DF85</vt:lpwstr>
  </property>
</Properties>
</file>