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72"/>
          <w:szCs w:val="72"/>
          <w:highlight w:val="none"/>
          <w:lang w:val="en-US" w:eastAsia="zh-CN"/>
        </w:rPr>
      </w:pPr>
      <w:bookmarkStart w:id="0" w:name="_Hlk34051380"/>
    </w:p>
    <w:p>
      <w:pPr>
        <w:jc w:val="center"/>
        <w:rPr>
          <w:rFonts w:hint="eastAsia" w:ascii="微软雅黑" w:hAnsi="微软雅黑" w:eastAsia="微软雅黑" w:cs="微软雅黑"/>
          <w:b/>
          <w:bCs/>
          <w:sz w:val="72"/>
          <w:szCs w:val="7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  <w:highlight w:val="none"/>
          <w:lang w:val="en-US" w:eastAsia="zh-CN"/>
        </w:rPr>
        <w:t>一拖四无线鹅颈</w:t>
      </w:r>
      <w:bookmarkStart w:id="6" w:name="_GoBack"/>
      <w:bookmarkEnd w:id="6"/>
      <w:r>
        <w:rPr>
          <w:rFonts w:hint="eastAsia" w:ascii="微软雅黑" w:hAnsi="微软雅黑" w:eastAsia="微软雅黑" w:cs="微软雅黑"/>
          <w:b/>
          <w:bCs/>
          <w:sz w:val="72"/>
          <w:szCs w:val="72"/>
          <w:highlight w:val="none"/>
          <w:lang w:val="en-US" w:eastAsia="zh-CN"/>
        </w:rPr>
        <w:t>会议话筒</w:t>
      </w:r>
    </w:p>
    <w:p>
      <w:pPr>
        <w:pStyle w:val="2"/>
        <w:rPr>
          <w:rFonts w:hint="eastAsia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color w:val="1E1916"/>
          <w:w w:val="110"/>
          <w:sz w:val="36"/>
          <w:szCs w:val="36"/>
        </w:rPr>
      </w:pPr>
      <w:r>
        <w:rPr>
          <w:rFonts w:hint="eastAsia" w:ascii="微软雅黑" w:hAnsi="微软雅黑" w:eastAsia="微软雅黑"/>
          <w:color w:val="1E1916"/>
          <w:w w:val="110"/>
          <w:sz w:val="36"/>
          <w:szCs w:val="36"/>
        </w:rPr>
        <w:t>DW-GM966</w:t>
      </w:r>
    </w:p>
    <w:bookmarkEnd w:id="0"/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用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户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手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册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</w:rPr>
      </w:pPr>
    </w:p>
    <w:p>
      <w:pPr>
        <w:spacing w:line="360" w:lineRule="auto"/>
        <w:jc w:val="center"/>
        <w:rPr>
          <w:rFonts w:ascii="微软雅黑" w:hAnsi="微软雅黑" w:eastAsia="微软雅黑" w:cs="微软雅黑"/>
          <w:sz w:val="36"/>
          <w:szCs w:val="36"/>
          <w:highlight w:val="none"/>
          <w:vertAlign w:val="subscript"/>
        </w:rPr>
      </w:pPr>
      <w:r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</w:rPr>
        <w:t>V</w:t>
      </w:r>
      <w:r>
        <w:rPr>
          <w:rFonts w:ascii="微软雅黑" w:hAnsi="微软雅黑" w:eastAsia="微软雅黑" w:cs="微软雅黑"/>
          <w:sz w:val="36"/>
          <w:szCs w:val="36"/>
          <w:highlight w:val="none"/>
          <w:vertAlign w:val="subscript"/>
        </w:rPr>
        <w:t>1.0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tabs>
          <w:tab w:val="left" w:pos="2985"/>
          <w:tab w:val="center" w:pos="5201"/>
        </w:tabs>
        <w:spacing w:line="260" w:lineRule="atLeast"/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上海大因多媒体技术有限公司</w:t>
      </w:r>
    </w:p>
    <w:p>
      <w:pPr>
        <w:spacing w:line="260" w:lineRule="atLeast"/>
        <w:ind w:firstLine="880" w:firstLineChars="200"/>
        <w:jc w:val="left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z w:val="44"/>
          <w:szCs w:val="44"/>
        </w:rPr>
        <w:t>安全须知</w:t>
      </w:r>
    </w:p>
    <w:p>
      <w:pPr>
        <w:spacing w:line="260" w:lineRule="atLeas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请先阅读所有说明，然后再尝试打开包装，安装或在连接电源之前，请操作本设备。打开包装并安装设备时，请记住以下几点：</w:t>
      </w:r>
    </w:p>
    <w:p>
      <w:pPr>
        <w:spacing w:line="260" w:lineRule="atLeas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</w:t>
      </w:r>
      <w:r>
        <w:rPr>
          <w:rFonts w:ascii="微软雅黑" w:hAnsi="微软雅黑" w:eastAsia="微软雅黑" w:cs="微软雅黑"/>
          <w:sz w:val="24"/>
          <w:szCs w:val="24"/>
        </w:rPr>
        <w:t>始终遵循基本的安全预防措施，以减少火灾风险，电击和人身伤害。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＊为避免起火或电击危险，请勿将本机淋雨，潮湿或将本产品安装在靠近水的地方。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＊切勿将任何液体溅到本产品之上或之中</w:t>
      </w:r>
      <w:r>
        <w:rPr>
          <w:rFonts w:hint="eastAsia" w:ascii="Arial" w:hAnsi="Arial" w:eastAsia="微软雅黑" w:cs="Arial"/>
          <w:sz w:val="24"/>
          <w:szCs w:val="24"/>
        </w:rPr>
        <w:t>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＊切勿通过任何方式将任何物体塞入本产品设备上的开口或空槽，因为可能会损坏单元内部零件。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＊请勿将电源线连接到建筑物表面。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＊仅使用随附的电源设备。 如果电源已损坏请勿使用。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＊请勿在电源线上放置任何物品在或放置</w:t>
      </w:r>
      <w:r>
        <w:rPr>
          <w:rFonts w:hint="eastAsia" w:ascii="Arial" w:hAnsi="Arial" w:eastAsia="微软雅黑" w:cs="Arial"/>
          <w:sz w:val="24"/>
          <w:szCs w:val="24"/>
        </w:rPr>
        <w:t>在</w:t>
      </w:r>
      <w:r>
        <w:rPr>
          <w:rFonts w:ascii="Arial" w:hAnsi="Arial" w:eastAsia="微软雅黑" w:cs="Arial"/>
          <w:sz w:val="24"/>
          <w:szCs w:val="24"/>
        </w:rPr>
        <w:t>人</w:t>
      </w:r>
      <w:r>
        <w:rPr>
          <w:rFonts w:hint="eastAsia" w:ascii="Arial" w:hAnsi="Arial" w:eastAsia="微软雅黑" w:cs="Arial"/>
          <w:sz w:val="24"/>
          <w:szCs w:val="24"/>
        </w:rPr>
        <w:t>行走的通道上</w:t>
      </w:r>
      <w:r>
        <w:rPr>
          <w:rFonts w:ascii="Arial" w:hAnsi="Arial" w:eastAsia="微软雅黑" w:cs="Arial"/>
          <w:sz w:val="24"/>
          <w:szCs w:val="24"/>
        </w:rPr>
        <w:t>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＊为防止设备过热，请勿</w:t>
      </w:r>
      <w:r>
        <w:rPr>
          <w:rFonts w:hint="eastAsia" w:ascii="Arial" w:hAnsi="Arial" w:eastAsia="微软雅黑" w:cs="Arial"/>
          <w:sz w:val="24"/>
          <w:szCs w:val="24"/>
        </w:rPr>
        <w:t>将所有设备堆叠在一起</w:t>
      </w:r>
      <w:r>
        <w:rPr>
          <w:rFonts w:ascii="Arial" w:hAnsi="Arial" w:eastAsia="微软雅黑" w:cs="Arial"/>
          <w:sz w:val="24"/>
          <w:szCs w:val="24"/>
        </w:rPr>
        <w:t>或提供通风并允许足够的空间使空气在设备周围流通。</w:t>
      </w:r>
    </w:p>
    <w:p>
      <w:pPr>
        <w:pStyle w:val="2"/>
        <w:ind w:firstLine="480" w:firstLineChars="200"/>
        <w:rPr>
          <w:highlight w:val="none"/>
        </w:rPr>
      </w:pPr>
    </w:p>
    <w:p>
      <w:pPr>
        <w:widowControl/>
        <w:jc w:val="left"/>
        <w:rPr>
          <w:rFonts w:ascii="Arial" w:hAnsi="Arial" w:eastAsia="微软雅黑" w:cs="Arial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991" w:bottom="1440" w:left="993" w:header="454" w:footer="90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ascii="Arial" w:hAnsi="Arial" w:eastAsia="微软雅黑" w:cs="Arial"/>
          <w:sz w:val="28"/>
          <w:szCs w:val="28"/>
        </w:rPr>
        <w:br w:type="page"/>
      </w:r>
    </w:p>
    <w:sdt>
      <w:sdtPr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  <w:id w:val="147482641"/>
        <w15:color w:val="DBDBDB"/>
        <w:docPartObj>
          <w:docPartGallery w:val="Table of Contents"/>
          <w:docPartUnique/>
        </w:docPartObj>
      </w:sdtPr>
      <w:sdtEndPr>
        <w:rPr>
          <w:rFonts w:hint="eastAsia" w:ascii="宋体" w:hAnsi="Times New Roman" w:eastAsia="宋体" w:cs="宋体"/>
          <w:color w:val="000000"/>
          <w:kern w:val="2"/>
          <w:sz w:val="24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微软雅黑" w:hAnsi="微软雅黑" w:eastAsia="微软雅黑" w:cs="微软雅黑"/>
              <w:sz w:val="32"/>
              <w:szCs w:val="32"/>
            </w:rPr>
          </w:pPr>
          <w:r>
            <w:rPr>
              <w:rFonts w:hint="eastAsia" w:ascii="微软雅黑" w:hAnsi="微软雅黑" w:eastAsia="微软雅黑" w:cs="微软雅黑"/>
              <w:sz w:val="32"/>
              <w:szCs w:val="32"/>
            </w:rPr>
            <w:t>目录</w:t>
          </w:r>
        </w:p>
        <w:p>
          <w:pPr>
            <w:pStyle w:val="11"/>
            <w:keepNext w:val="0"/>
            <w:keepLines w:val="0"/>
            <w:pageBreakBefore w:val="0"/>
            <w:widowControl w:val="0"/>
            <w:tabs>
              <w:tab w:val="right" w:leader="dot" w:pos="992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rFonts w:hint="eastAsia" w:ascii="微软雅黑" w:hAnsi="微软雅黑" w:eastAsia="微软雅黑" w:cs="微软雅黑"/>
            </w:rPr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HYPERLINK \l _Toc18418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kern w:val="0"/>
              <w:szCs w:val="36"/>
              <w:lang w:val="en-US" w:eastAsia="zh-CN" w:bidi="ar"/>
            </w:rPr>
            <w:t>一</w:t>
          </w:r>
          <w:r>
            <w:rPr>
              <w:rFonts w:hint="eastAsia" w:ascii="微软雅黑" w:hAnsi="微软雅黑" w:eastAsia="微软雅黑" w:cs="微软雅黑"/>
              <w:szCs w:val="36"/>
              <w:lang w:val="en-US" w:eastAsia="zh-CN"/>
            </w:rPr>
            <w:t>、</w:t>
          </w:r>
          <w:r>
            <w:rPr>
              <w:rFonts w:hint="eastAsia" w:ascii="微软雅黑" w:hAnsi="微软雅黑" w:eastAsia="微软雅黑" w:cs="微软雅黑"/>
              <w:szCs w:val="36"/>
            </w:rPr>
            <w:t>产品结构图</w:t>
          </w:r>
          <w:r>
            <w:rPr>
              <w:rFonts w:hint="eastAsia" w:ascii="微软雅黑" w:hAnsi="微软雅黑" w:eastAsia="微软雅黑" w:cs="微软雅黑"/>
            </w:rPr>
            <w:tab/>
          </w: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PAGEREF _Toc18418 \h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</w:rPr>
            <w:t>4</w:t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</w:p>
        <w:p>
          <w:pPr>
            <w:pStyle w:val="11"/>
            <w:keepNext w:val="0"/>
            <w:keepLines w:val="0"/>
            <w:pageBreakBefore w:val="0"/>
            <w:widowControl w:val="0"/>
            <w:tabs>
              <w:tab w:val="right" w:leader="dot" w:pos="992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rFonts w:hint="eastAsia" w:ascii="微软雅黑" w:hAnsi="微软雅黑" w:eastAsia="微软雅黑" w:cs="微软雅黑"/>
            </w:rPr>
          </w:pP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HYPERLINK \l _Toc6391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Cs w:val="36"/>
              <w:lang w:val="en-US" w:eastAsia="zh-CN"/>
            </w:rPr>
            <w:t>二、</w:t>
          </w:r>
          <w:r>
            <w:rPr>
              <w:rFonts w:hint="eastAsia" w:ascii="微软雅黑" w:hAnsi="微软雅黑" w:eastAsia="微软雅黑" w:cs="微软雅黑"/>
              <w:szCs w:val="36"/>
            </w:rPr>
            <w:t>产品特性</w:t>
          </w:r>
          <w:r>
            <w:rPr>
              <w:rFonts w:hint="eastAsia" w:ascii="微软雅黑" w:hAnsi="微软雅黑" w:eastAsia="微软雅黑" w:cs="微软雅黑"/>
            </w:rPr>
            <w:tab/>
          </w: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PAGEREF _Toc6391 \h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</w:rPr>
            <w:t>4</w:t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</w:p>
        <w:p>
          <w:pPr>
            <w:pStyle w:val="12"/>
            <w:keepNext w:val="0"/>
            <w:keepLines w:val="0"/>
            <w:pageBreakBefore w:val="0"/>
            <w:widowControl w:val="0"/>
            <w:tabs>
              <w:tab w:val="right" w:leader="dot" w:pos="992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rFonts w:hint="eastAsia" w:ascii="微软雅黑" w:hAnsi="微软雅黑" w:eastAsia="微软雅黑" w:cs="微软雅黑"/>
            </w:rPr>
          </w:pP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HYPERLINK \l _Toc26055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szCs w:val="30"/>
              <w:lang w:val="en-US" w:eastAsia="zh-CN"/>
            </w:rPr>
            <w:t>2.1</w:t>
          </w:r>
          <w:r>
            <w:rPr>
              <w:rFonts w:hint="eastAsia" w:ascii="微软雅黑" w:hAnsi="微软雅黑" w:eastAsia="微软雅黑" w:cs="微软雅黑"/>
              <w:bCs/>
              <w:kern w:val="0"/>
              <w:szCs w:val="30"/>
              <w:lang w:val="en-US" w:eastAsia="zh-CN" w:bidi="ar"/>
            </w:rPr>
            <w:t>技术特点</w:t>
          </w:r>
          <w:r>
            <w:rPr>
              <w:rFonts w:hint="eastAsia" w:ascii="微软雅黑" w:hAnsi="微软雅黑" w:eastAsia="微软雅黑" w:cs="微软雅黑"/>
            </w:rPr>
            <w:tab/>
          </w: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PAGEREF _Toc26055 \h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</w:rPr>
            <w:t>4</w:t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</w:p>
        <w:p>
          <w:pPr>
            <w:pStyle w:val="12"/>
            <w:keepNext w:val="0"/>
            <w:keepLines w:val="0"/>
            <w:pageBreakBefore w:val="0"/>
            <w:widowControl w:val="0"/>
            <w:tabs>
              <w:tab w:val="right" w:leader="dot" w:pos="992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rFonts w:hint="eastAsia" w:ascii="微软雅黑" w:hAnsi="微软雅黑" w:eastAsia="微软雅黑" w:cs="微软雅黑"/>
            </w:rPr>
          </w:pP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HYPERLINK \l _Toc22957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szCs w:val="30"/>
              <w:lang w:val="en-US" w:eastAsia="zh-CN"/>
            </w:rPr>
            <w:t>2.2接收机使用说明</w:t>
          </w:r>
          <w:r>
            <w:rPr>
              <w:rFonts w:hint="eastAsia" w:ascii="微软雅黑" w:hAnsi="微软雅黑" w:eastAsia="微软雅黑" w:cs="微软雅黑"/>
            </w:rPr>
            <w:tab/>
          </w: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PAGEREF _Toc22957 \h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</w:rPr>
            <w:t>5</w:t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</w:p>
        <w:p>
          <w:pPr>
            <w:pStyle w:val="11"/>
            <w:keepNext w:val="0"/>
            <w:keepLines w:val="0"/>
            <w:pageBreakBefore w:val="0"/>
            <w:widowControl w:val="0"/>
            <w:tabs>
              <w:tab w:val="right" w:leader="dot" w:pos="992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HYPERLINK \l _Toc24870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Cs w:val="36"/>
              <w:lang w:val="en-US" w:eastAsia="zh-CN"/>
            </w:rPr>
            <w:t>三、</w:t>
          </w:r>
          <w:r>
            <w:rPr>
              <w:rFonts w:hint="eastAsia" w:ascii="微软雅黑" w:hAnsi="微软雅黑" w:eastAsia="微软雅黑" w:cs="微软雅黑"/>
              <w:szCs w:val="36"/>
            </w:rPr>
            <w:t>主要规格参数</w:t>
          </w:r>
          <w:r>
            <w:rPr>
              <w:rFonts w:hint="eastAsia" w:ascii="微软雅黑" w:hAnsi="微软雅黑" w:eastAsia="微软雅黑" w:cs="微软雅黑"/>
            </w:rPr>
            <w:tab/>
          </w: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PAGEREF _Toc24870 \h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</w:rPr>
            <w:t>7</w:t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</w:p>
        <w:p>
          <w:pPr>
            <w:pStyle w:val="2"/>
            <w:sectPr>
              <w:pgSz w:w="11906" w:h="16838"/>
              <w:pgMar w:top="1440" w:right="991" w:bottom="1440" w:left="993" w:header="454" w:footer="907" w:gutter="0"/>
              <w:pgBorders>
                <w:top w:val="none" w:sz="0" w:space="0"/>
                <w:left w:val="none" w:sz="0" w:space="0"/>
                <w:bottom w:val="none" w:sz="0" w:space="0"/>
                <w:right w:val="none" w:sz="0" w:space="0"/>
              </w:pgBorders>
              <w:cols w:space="425" w:num="1"/>
              <w:docGrid w:type="lines" w:linePitch="312" w:charSpace="0"/>
            </w:sectPr>
          </w:pPr>
          <w:r>
            <w:fldChar w:fldCharType="end"/>
          </w:r>
        </w:p>
      </w:sdtContent>
    </w:sdt>
    <w:p>
      <w:pPr>
        <w:pStyle w:val="2"/>
      </w:pP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right="-17" w:rightChars="0"/>
        <w:jc w:val="left"/>
        <w:textAlignment w:val="auto"/>
        <w:outlineLvl w:val="0"/>
        <w:rPr>
          <w:rFonts w:hint="eastAsia" w:eastAsia="宋体"/>
          <w:lang w:eastAsia="zh-CN"/>
        </w:rPr>
      </w:pPr>
      <w:bookmarkStart w:id="1" w:name="_Toc18418"/>
      <w:r>
        <w:rPr>
          <w:rFonts w:hint="eastAsia" w:ascii="微软雅黑" w:hAnsi="微软雅黑" w:eastAsia="微软雅黑" w:cs="微软雅黑"/>
          <w:b/>
          <w:color w:val="000008"/>
          <w:kern w:val="0"/>
          <w:sz w:val="36"/>
          <w:szCs w:val="36"/>
          <w:lang w:val="en-US" w:eastAsia="zh-CN" w:bidi="ar"/>
        </w:rPr>
        <w:t>一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sz w:val="36"/>
          <w:szCs w:val="36"/>
        </w:rPr>
        <w:t>产品结构图</w:t>
      </w:r>
      <w:bookmarkEnd w:id="1"/>
    </w:p>
    <w:p>
      <w:pPr>
        <w:widowControl/>
        <w:jc w:val="center"/>
        <w:rPr>
          <w:rFonts w:hint="eastAsia" w:asciiTheme="minorEastAsia" w:hAnsiTheme="minorEastAsia" w:eastAsiaTheme="minorEastAsia" w:cstheme="minorEastAsia"/>
          <w:b/>
          <w:bCs/>
          <w:color w:val="000008"/>
          <w:kern w:val="0"/>
          <w:sz w:val="18"/>
          <w:szCs w:val="18"/>
          <w:lang w:eastAsia="zh-CN" w:bidi="ar"/>
        </w:rPr>
      </w:pPr>
      <w:r>
        <w:drawing>
          <wp:inline distT="0" distB="0" distL="114300" distR="114300">
            <wp:extent cx="328930" cy="262255"/>
            <wp:effectExtent l="0" t="0" r="4445" b="444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5478145" cy="4587875"/>
            <wp:effectExtent l="0" t="0" r="0" b="0"/>
            <wp:docPr id="7" name="图片 7" descr="拖四鹅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拖四鹅颈"/>
                    <pic:cNvPicPr>
                      <a:picLocks noChangeAspect="1"/>
                    </pic:cNvPicPr>
                  </pic:nvPicPr>
                  <pic:blipFill>
                    <a:blip r:embed="rId7"/>
                    <a:srcRect t="29046" b="11750"/>
                    <a:stretch>
                      <a:fillRect/>
                    </a:stretch>
                  </pic:blipFill>
                  <pic:spPr>
                    <a:xfrm>
                      <a:off x="0" y="0"/>
                      <a:ext cx="5478145" cy="458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Theme="minorEastAsia" w:hAnsiTheme="minorEastAsia" w:eastAsiaTheme="minorEastAsia" w:cstheme="minorEastAsia"/>
          <w:b/>
          <w:bCs/>
          <w:color w:val="000008"/>
          <w:kern w:val="0"/>
          <w:sz w:val="18"/>
          <w:szCs w:val="18"/>
          <w:lang w:bidi="ar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color w:val="000008"/>
          <w:kern w:val="0"/>
          <w:sz w:val="18"/>
          <w:szCs w:val="18"/>
          <w:lang w:bidi="ar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b/>
          <w:bCs/>
          <w:color w:val="000008"/>
          <w:kern w:val="0"/>
          <w:sz w:val="20"/>
          <w:szCs w:val="20"/>
          <w:lang w:bidi="ar"/>
        </w:rPr>
      </w:pPr>
    </w:p>
    <w:p>
      <w:pPr>
        <w:widowControl/>
        <w:jc w:val="left"/>
        <w:rPr>
          <w:rFonts w:asciiTheme="minorEastAsia" w:hAnsiTheme="minorEastAsia" w:eastAsiaTheme="minorEastAsia" w:cstheme="minorEastAsia"/>
          <w:b/>
          <w:bCs/>
          <w:color w:val="000008"/>
          <w:kern w:val="0"/>
          <w:sz w:val="18"/>
          <w:szCs w:val="18"/>
          <w:lang w:bidi="ar"/>
        </w:rPr>
      </w:pPr>
    </w:p>
    <w:p>
      <w:pPr>
        <w:pStyle w:val="3"/>
        <w:numPr>
          <w:ilvl w:val="0"/>
          <w:numId w:val="0"/>
        </w:numPr>
        <w:spacing w:before="0"/>
        <w:ind w:left="210" w:leftChars="0" w:right="-17" w:rightChars="0"/>
        <w:jc w:val="left"/>
        <w:outlineLvl w:val="0"/>
      </w:pPr>
      <w:bookmarkStart w:id="2" w:name="_Toc6391"/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二、</w:t>
      </w:r>
      <w:r>
        <w:rPr>
          <w:rFonts w:hint="eastAsia" w:ascii="微软雅黑" w:hAnsi="微软雅黑" w:eastAsia="微软雅黑" w:cs="微软雅黑"/>
          <w:sz w:val="36"/>
          <w:szCs w:val="36"/>
        </w:rPr>
        <w:t>产品特性</w:t>
      </w:r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/>
        <w:jc w:val="left"/>
        <w:textAlignment w:val="auto"/>
        <w:outlineLvl w:val="1"/>
        <w:rPr>
          <w:rFonts w:ascii="宋体" w:hAnsi="宋体" w:cs="宋体"/>
          <w:b/>
          <w:bCs/>
          <w:color w:val="000000"/>
          <w:kern w:val="0"/>
          <w:sz w:val="19"/>
          <w:szCs w:val="19"/>
          <w:lang w:bidi="ar"/>
        </w:rPr>
      </w:pPr>
      <w:bookmarkStart w:id="3" w:name="_Toc26055"/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2.1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0"/>
          <w:szCs w:val="30"/>
          <w:lang w:val="en-US" w:eastAsia="zh-CN" w:bidi="ar"/>
        </w:rPr>
        <w:t>技术特点</w:t>
      </w:r>
      <w:bookmarkEnd w:id="3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  <w:t xml:space="preserve">1.接收机采用1.8寸TFT显示屏，4个通道频道号，频率，电量，音量，音频电平一目了然；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  <w:t xml:space="preserve">2.接收机内置啸叫抑制，可根据需要开启或关闭；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  <w:t xml:space="preserve">3.接收机内置4种EQ模式，用户模式可以自由灵活调节13段EQ增益，适配更多场合使用；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  <w:t xml:space="preserve">4.接收机采用天线分集接收技术，CPU自动选择最优天线保证接收到稳定信号预防断频；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  <w:t xml:space="preserve">5.会议单元采用2.4寸TFT显示屏，显示发言时间，频道及电量；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  <w:t xml:space="preserve">6.会议单元采用3000mAh锂电池，连续续发言时间大于16小时，待机时间大于30小时；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  <w:t xml:space="preserve">7.采用动态随机ID，杜绝串频；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  <w:t xml:space="preserve">8.会议单元充电接口TYPE-C特殊情况下可使用充电宝边充电边使用；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  <w:t xml:space="preserve">9.接收机预置多组规避干扰的频率，有效提高多套同时使用的安装效率；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  <w:t xml:space="preserve">10.会议单元使用高灵敏度双振膜超心形指向电容咪芯，拾音距离远， 声音清晰；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  <w:t xml:space="preserve">11.会议单元发射功率两档选择，可设置无按键动作后触发自动关机时间。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/>
        <w:jc w:val="left"/>
        <w:textAlignment w:val="auto"/>
        <w:outlineLvl w:val="1"/>
      </w:pPr>
      <w:bookmarkStart w:id="4" w:name="_Toc22957"/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2.2接收机使用说明</w:t>
      </w:r>
      <w:bookmarkEnd w:id="4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  <w:t xml:space="preserve">1．调频道：先按通道选择键（A/B/C/D），显示屏对应通道反白后，再按CH+ -调节频道，调频时频道号会闪烁，按SET键确认，频道调节完成，同时显示退出选中的通道。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  <w:t xml:space="preserve">2．调音量：先按通道选择键（A/B/C/D），显示屏对应通道反白后，再按Vol+ -调节音量，显示屏对应通道音量数字会变化。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  <w:t xml:space="preserve">3．对频：先按通道选择键（A/B/C/D），显示屏对应通道反白后，再按Set键，显示SYNC即开始对频。（注意：会议单元使用无线对频技术无需对准接收机的红外窗口，会议单元在接收机1米范围内可以接收到对频信号，接收到对频信号后屏幕的频率闪烁显示，按下发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  <w:t xml:space="preserve">言按键即完成对频）。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  <w:t xml:space="preserve">4 .其它功能：长按SET按键3秒进入功能设置界面，可以设置按键上锁，均衡选择，频率分组的功能，Vol+ Vol-上下菜单选择，CH+CH-参数设置。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  <w:t>①按键上锁：防止误动作导致使用不正常，上锁后按键失效，只能解锁后才能使用。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  <w:t xml:space="preserve">②啸叫抑制：打开啸叫抑制能有效降低啸叫，如有反馈抑制器可关闭此功能。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  <w:t xml:space="preserve">③均衡：分直通，低切，高切，用户4种模式选择，用户模式按SET键可进入用户模式编辑，共13段EQ可设置。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  <w:t xml:space="preserve">④频率分组：为了方便用户高效快捷调试安装，接收机预置了4套互不干扰频道并可以通过频率分组调用，不需用预置的频率时选择频率分组关。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  <w:t xml:space="preserve">⑤保存：以上功能调整后需要保存否则掉电后会失效。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  <w:t>⑥退出：退出设置界面返回主界面。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2.3发射单元技术指标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  <w:t xml:space="preserve">发射功率：10mW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  <w:t xml:space="preserve">最大频道数: 200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  <w:t xml:space="preserve">杂散抑制：-60dB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  <w:t xml:space="preserve">谐波抑制:&gt;55dBc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  <w:t xml:space="preserve">供电电压：4.2V/ 3000mAh 锂电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  <w:t>屏幕：2.4寸TFT彩屏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微软雅黑" w:hAnsi="微软雅黑" w:eastAsia="微软雅黑" w:cs="微软雅黑"/>
          <w:color w:val="231F20"/>
          <w:kern w:val="0"/>
          <w:sz w:val="24"/>
          <w:szCs w:val="24"/>
          <w:lang w:val="en-US" w:eastAsia="zh-CN" w:bidi="ar"/>
        </w:rPr>
      </w:pP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-17" w:rightChars="0"/>
        <w:jc w:val="left"/>
        <w:textAlignment w:val="auto"/>
        <w:outlineLvl w:val="0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bookmarkStart w:id="5" w:name="_Toc24870"/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三、</w:t>
      </w:r>
      <w:r>
        <w:rPr>
          <w:rFonts w:hint="eastAsia" w:ascii="微软雅黑" w:hAnsi="微软雅黑" w:eastAsia="微软雅黑" w:cs="微软雅黑"/>
          <w:sz w:val="36"/>
          <w:szCs w:val="36"/>
        </w:rPr>
        <w:t>主要规格参数</w:t>
      </w:r>
      <w:bookmarkEnd w:id="5"/>
    </w:p>
    <w:tbl>
      <w:tblPr>
        <w:tblStyle w:val="13"/>
        <w:tblW w:w="9171" w:type="dxa"/>
        <w:tblInd w:w="2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3682"/>
        <w:gridCol w:w="3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537" w:type="dxa"/>
            <w:vMerge w:val="restart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pStyle w:val="31"/>
              <w:spacing w:line="240" w:lineRule="auto"/>
              <w:ind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31"/>
              <w:spacing w:line="240" w:lineRule="auto"/>
              <w:ind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31"/>
              <w:spacing w:line="240" w:lineRule="auto"/>
              <w:ind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31"/>
              <w:spacing w:line="240" w:lineRule="auto"/>
              <w:ind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31"/>
              <w:spacing w:line="240" w:lineRule="auto"/>
              <w:ind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31"/>
              <w:spacing w:line="240" w:lineRule="auto"/>
              <w:ind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31"/>
              <w:spacing w:before="7" w:line="240" w:lineRule="auto"/>
              <w:ind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31"/>
              <w:tabs>
                <w:tab w:val="left" w:pos="499"/>
              </w:tabs>
              <w:spacing w:line="240" w:lineRule="auto"/>
              <w:ind w:right="1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接收机显示屏</w:t>
            </w:r>
          </w:p>
        </w:tc>
        <w:tc>
          <w:tcPr>
            <w:tcW w:w="3682" w:type="dxa"/>
            <w:tcBorders>
              <w:tl2br w:val="nil"/>
              <w:tr2bl w:val="nil"/>
            </w:tcBorders>
          </w:tcPr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屏幕尺寸</w:t>
            </w:r>
          </w:p>
        </w:tc>
        <w:tc>
          <w:tcPr>
            <w:tcW w:w="3952" w:type="dxa"/>
            <w:tcBorders>
              <w:tl2br w:val="nil"/>
              <w:tr2bl w:val="nil"/>
            </w:tcBorders>
          </w:tcPr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1.8 寸 TFT 显示屏</w:t>
            </w:r>
          </w:p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</w:tcPr>
          <w:p>
            <w:pPr>
              <w:pStyle w:val="31"/>
              <w:spacing w:before="66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显示模式</w:t>
            </w:r>
          </w:p>
        </w:tc>
        <w:tc>
          <w:tcPr>
            <w:tcW w:w="3952" w:type="dxa"/>
            <w:tcBorders>
              <w:tl2br w:val="nil"/>
              <w:tr2bl w:val="nil"/>
            </w:tcBorders>
          </w:tcPr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全透 </w:t>
            </w:r>
          </w:p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</w:tcPr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显示格式</w:t>
            </w:r>
          </w:p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3952" w:type="dxa"/>
            <w:tcBorders>
              <w:tl2br w:val="nil"/>
              <w:tr2bl w:val="nil"/>
            </w:tcBorders>
          </w:tcPr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128 x RGB x 160 图形点阵</w:t>
            </w:r>
          </w:p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</w:tcPr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数据格式</w:t>
            </w:r>
          </w:p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3952" w:type="dxa"/>
            <w:tcBorders>
              <w:tl2br w:val="nil"/>
              <w:tr2bl w:val="nil"/>
            </w:tcBorders>
          </w:tcPr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RGB565 </w:t>
            </w:r>
          </w:p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</w:tcPr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显示屏接口类型</w:t>
            </w:r>
          </w:p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3952" w:type="dxa"/>
            <w:tcBorders>
              <w:tl2br w:val="nil"/>
              <w:tr2bl w:val="nil"/>
            </w:tcBorders>
          </w:tcPr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4线SPI串口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</w:tcPr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视角方向</w:t>
            </w:r>
          </w:p>
        </w:tc>
        <w:tc>
          <w:tcPr>
            <w:tcW w:w="3952" w:type="dxa"/>
            <w:tcBorders>
              <w:tl2br w:val="nil"/>
              <w:tr2bl w:val="nil"/>
            </w:tcBorders>
          </w:tcPr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12点钟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</w:tcPr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显示屏驱动芯片</w:t>
            </w:r>
          </w:p>
        </w:tc>
        <w:tc>
          <w:tcPr>
            <w:tcW w:w="3952" w:type="dxa"/>
            <w:tcBorders>
              <w:tl2br w:val="nil"/>
              <w:tr2bl w:val="nil"/>
            </w:tcBorders>
          </w:tcPr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ST7735S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</w:tcPr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显示屏外围尺寸</w:t>
            </w:r>
          </w:p>
        </w:tc>
        <w:tc>
          <w:tcPr>
            <w:tcW w:w="3952" w:type="dxa"/>
            <w:tcBorders>
              <w:tl2br w:val="nil"/>
              <w:tr2bl w:val="nil"/>
            </w:tcBorders>
          </w:tcPr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34.00(宽)*45.83(长)*2.40(厚度)</w:t>
            </w:r>
          </w:p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</w:tcPr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分辨率</w:t>
            </w:r>
          </w:p>
        </w:tc>
        <w:tc>
          <w:tcPr>
            <w:tcW w:w="3952" w:type="dxa"/>
            <w:tcBorders>
              <w:tl2br w:val="nil"/>
              <w:tr2bl w:val="nil"/>
            </w:tcBorders>
          </w:tcPr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128 RGB*160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</w:tcPr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显示尺寸</w:t>
            </w:r>
          </w:p>
        </w:tc>
        <w:tc>
          <w:tcPr>
            <w:tcW w:w="3952" w:type="dxa"/>
            <w:tcBorders>
              <w:tl2br w:val="nil"/>
              <w:tr2bl w:val="nil"/>
            </w:tcBorders>
          </w:tcPr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28.03(宽)*35.04 (长)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</w:tcPr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像素尺寸</w:t>
            </w:r>
          </w:p>
        </w:tc>
        <w:tc>
          <w:tcPr>
            <w:tcW w:w="3952" w:type="dxa"/>
            <w:tcBorders>
              <w:tl2br w:val="nil"/>
              <w:tr2bl w:val="nil"/>
            </w:tcBorders>
          </w:tcPr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0.219(宽)*0.219(长)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537" w:type="dxa"/>
            <w:vMerge w:val="restart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pStyle w:val="31"/>
              <w:spacing w:line="240" w:lineRule="auto"/>
              <w:ind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31"/>
              <w:spacing w:line="240" w:lineRule="auto"/>
              <w:ind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31"/>
              <w:spacing w:line="240" w:lineRule="auto"/>
              <w:ind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31"/>
              <w:spacing w:before="148" w:line="240" w:lineRule="auto"/>
              <w:ind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会议单元显示屏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显示模式</w:t>
            </w:r>
          </w:p>
        </w:tc>
        <w:tc>
          <w:tcPr>
            <w:tcW w:w="395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全透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显示格式</w:t>
            </w:r>
          </w:p>
        </w:tc>
        <w:tc>
          <w:tcPr>
            <w:tcW w:w="395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240 x RGB x 320图形点阵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数据格式</w:t>
            </w:r>
          </w:p>
        </w:tc>
        <w:tc>
          <w:tcPr>
            <w:tcW w:w="395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RGB565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显示屏接口类型</w:t>
            </w:r>
          </w:p>
        </w:tc>
        <w:tc>
          <w:tcPr>
            <w:tcW w:w="395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5" w:line="240" w:lineRule="auto"/>
              <w:ind w:left="103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4线SPI串口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5" w:line="240" w:lineRule="auto"/>
              <w:ind w:left="103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视角方向</w:t>
            </w:r>
          </w:p>
        </w:tc>
        <w:tc>
          <w:tcPr>
            <w:tcW w:w="395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5" w:line="240" w:lineRule="auto"/>
              <w:ind w:left="103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12点钟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5" w:line="240" w:lineRule="auto"/>
              <w:ind w:left="103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显示屏驱动芯片</w:t>
            </w:r>
          </w:p>
        </w:tc>
        <w:tc>
          <w:tcPr>
            <w:tcW w:w="395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5" w:line="240" w:lineRule="auto"/>
              <w:ind w:left="103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 xml:space="preserve"> ST7789V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5" w:line="240" w:lineRule="auto"/>
              <w:ind w:left="103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显示屏外围尺寸</w:t>
            </w:r>
          </w:p>
        </w:tc>
        <w:tc>
          <w:tcPr>
            <w:tcW w:w="395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5" w:line="240" w:lineRule="auto"/>
              <w:ind w:left="103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42.72(宽)*60.26(长)*2.60(厚度)</w:t>
            </w:r>
          </w:p>
          <w:p>
            <w:pPr>
              <w:pStyle w:val="31"/>
              <w:spacing w:before="65" w:line="240" w:lineRule="auto"/>
              <w:ind w:left="103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5" w:line="240" w:lineRule="auto"/>
              <w:ind w:left="103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分辨率</w:t>
            </w:r>
          </w:p>
        </w:tc>
        <w:tc>
          <w:tcPr>
            <w:tcW w:w="395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5" w:line="240" w:lineRule="auto"/>
              <w:ind w:left="103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240 RGB*320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5" w:line="240" w:lineRule="auto"/>
              <w:ind w:left="103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显示尺寸</w:t>
            </w:r>
          </w:p>
        </w:tc>
        <w:tc>
          <w:tcPr>
            <w:tcW w:w="395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5" w:line="240" w:lineRule="auto"/>
              <w:ind w:left="103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36.72(宽)*48.96 (长)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5" w:line="240" w:lineRule="auto"/>
              <w:ind w:left="103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像素尺寸</w:t>
            </w:r>
          </w:p>
        </w:tc>
        <w:tc>
          <w:tcPr>
            <w:tcW w:w="395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5" w:line="240" w:lineRule="auto"/>
              <w:ind w:left="103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0.153(宽)*0.153(长)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1537" w:type="dxa"/>
            <w:vMerge w:val="restart"/>
            <w:tcBorders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pStyle w:val="31"/>
              <w:spacing w:before="66" w:line="240" w:lineRule="auto"/>
              <w:ind w:left="732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31"/>
              <w:spacing w:before="66" w:line="240" w:lineRule="auto"/>
              <w:ind w:left="732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31"/>
              <w:spacing w:before="66" w:line="240" w:lineRule="auto"/>
              <w:ind w:left="732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31"/>
              <w:spacing w:before="66" w:line="240" w:lineRule="auto"/>
              <w:ind w:left="732"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pStyle w:val="31"/>
              <w:spacing w:before="66" w:line="240" w:lineRule="auto"/>
              <w:ind w:right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接收机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结构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5" w:line="240" w:lineRule="auto"/>
              <w:ind w:left="103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毛重</w:t>
            </w:r>
          </w:p>
        </w:tc>
        <w:tc>
          <w:tcPr>
            <w:tcW w:w="395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5" w:line="240" w:lineRule="auto"/>
              <w:ind w:left="102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1.56kg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pStyle w:val="31"/>
              <w:spacing w:before="66" w:line="240" w:lineRule="auto"/>
              <w:ind w:left="732" w:right="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3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裸机尺寸（长*宽*高）</w:t>
            </w:r>
          </w:p>
        </w:tc>
        <w:tc>
          <w:tcPr>
            <w:tcW w:w="395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2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480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MM*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155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MM*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pStyle w:val="31"/>
              <w:spacing w:before="66" w:line="240" w:lineRule="auto"/>
              <w:ind w:left="732" w:right="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3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包装尺寸（长*宽*高）</w:t>
            </w:r>
          </w:p>
        </w:tc>
        <w:tc>
          <w:tcPr>
            <w:tcW w:w="395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2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526MM*380MM*158MM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pStyle w:val="31"/>
              <w:spacing w:before="66" w:line="240" w:lineRule="auto"/>
              <w:ind w:left="732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3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外壳材料（面框/后壳）</w:t>
            </w:r>
          </w:p>
        </w:tc>
        <w:tc>
          <w:tcPr>
            <w:tcW w:w="395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2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铝型材/钣金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pStyle w:val="31"/>
              <w:spacing w:before="66" w:line="240" w:lineRule="auto"/>
              <w:ind w:left="732" w:right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3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外壳颜色（面框/后壳）</w:t>
            </w:r>
          </w:p>
        </w:tc>
        <w:tc>
          <w:tcPr>
            <w:tcW w:w="395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灰色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1537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pStyle w:val="31"/>
              <w:spacing w:before="65" w:line="240" w:lineRule="auto"/>
              <w:ind w:right="1" w:righ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语言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3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中文</w:t>
            </w:r>
          </w:p>
        </w:tc>
        <w:tc>
          <w:tcPr>
            <w:tcW w:w="395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2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简体中文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1537" w:type="dxa"/>
            <w:vMerge w:val="restart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pStyle w:val="31"/>
              <w:spacing w:before="65" w:line="240" w:lineRule="auto"/>
              <w:ind w:right="1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会议单元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3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鹅颈尺寸</w:t>
            </w:r>
          </w:p>
        </w:tc>
        <w:tc>
          <w:tcPr>
            <w:tcW w:w="395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2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392*20mm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pStyle w:val="31"/>
              <w:spacing w:before="65" w:line="240" w:lineRule="auto"/>
              <w:ind w:right="1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3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屏幕尺寸</w:t>
            </w:r>
          </w:p>
        </w:tc>
        <w:tc>
          <w:tcPr>
            <w:tcW w:w="395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2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50*37mm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pStyle w:val="31"/>
              <w:spacing w:before="65" w:line="240" w:lineRule="auto"/>
              <w:ind w:right="1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3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按键尺寸</w:t>
            </w:r>
          </w:p>
        </w:tc>
        <w:tc>
          <w:tcPr>
            <w:tcW w:w="395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2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32*10mm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pStyle w:val="31"/>
              <w:spacing w:before="65" w:line="240" w:lineRule="auto"/>
              <w:ind w:right="1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3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连接柱尺寸</w:t>
            </w:r>
          </w:p>
        </w:tc>
        <w:tc>
          <w:tcPr>
            <w:tcW w:w="395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2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20*20*35mm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pStyle w:val="31"/>
              <w:spacing w:before="65" w:line="240" w:lineRule="auto"/>
              <w:ind w:right="1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3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底盒尺寸</w:t>
            </w:r>
          </w:p>
        </w:tc>
        <w:tc>
          <w:tcPr>
            <w:tcW w:w="395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2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130*90*60（最高点）mm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pStyle w:val="31"/>
              <w:spacing w:before="65" w:line="240" w:lineRule="auto"/>
              <w:ind w:right="1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3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毛重</w:t>
            </w:r>
          </w:p>
        </w:tc>
        <w:tc>
          <w:tcPr>
            <w:tcW w:w="395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2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0.5kg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1537" w:type="dxa"/>
            <w:vMerge w:val="restart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pStyle w:val="31"/>
              <w:spacing w:before="65" w:line="240" w:lineRule="auto"/>
              <w:ind w:right="1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  <w:p>
            <w:pPr>
              <w:pStyle w:val="31"/>
              <w:spacing w:before="65" w:line="240" w:lineRule="auto"/>
              <w:ind w:right="1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  <w:p>
            <w:pPr>
              <w:pStyle w:val="31"/>
              <w:spacing w:before="65" w:line="240" w:lineRule="auto"/>
              <w:ind w:right="1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</w:p>
          <w:p>
            <w:pPr>
              <w:pStyle w:val="31"/>
              <w:spacing w:before="65" w:line="240" w:lineRule="auto"/>
              <w:ind w:right="1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随机配件</w:t>
            </w:r>
          </w:p>
        </w:tc>
        <w:tc>
          <w:tcPr>
            <w:tcW w:w="368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3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双口USB充电器</w:t>
            </w:r>
          </w:p>
        </w:tc>
        <w:tc>
          <w:tcPr>
            <w:tcW w:w="395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2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25*25*45mm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pStyle w:val="31"/>
              <w:spacing w:before="65" w:line="240" w:lineRule="auto"/>
              <w:ind w:right="1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3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充电线</w:t>
            </w:r>
          </w:p>
        </w:tc>
        <w:tc>
          <w:tcPr>
            <w:tcW w:w="395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2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0.5米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pStyle w:val="31"/>
              <w:spacing w:before="65" w:line="240" w:lineRule="auto"/>
              <w:ind w:right="1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3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吸盘天线</w:t>
            </w:r>
          </w:p>
        </w:tc>
        <w:tc>
          <w:tcPr>
            <w:tcW w:w="395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2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1.2米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pStyle w:val="31"/>
              <w:spacing w:before="65" w:line="240" w:lineRule="auto"/>
              <w:ind w:right="1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3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电源适配器DC 12v/1A</w:t>
            </w:r>
          </w:p>
        </w:tc>
        <w:tc>
          <w:tcPr>
            <w:tcW w:w="395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2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1.5米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pStyle w:val="31"/>
              <w:spacing w:before="65" w:line="240" w:lineRule="auto"/>
              <w:ind w:right="1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3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6.35音频线</w:t>
            </w:r>
          </w:p>
        </w:tc>
        <w:tc>
          <w:tcPr>
            <w:tcW w:w="395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2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1537" w:type="dxa"/>
            <w:vMerge w:val="continue"/>
            <w:tcBorders>
              <w:tl2br w:val="nil"/>
              <w:tr2bl w:val="nil"/>
            </w:tcBorders>
            <w:shd w:val="clear" w:color="auto" w:fill="F1F1F1" w:themeFill="background1" w:themeFillShade="F2"/>
            <w:vAlign w:val="top"/>
          </w:tcPr>
          <w:p>
            <w:pPr>
              <w:pStyle w:val="31"/>
              <w:spacing w:before="65" w:line="240" w:lineRule="auto"/>
              <w:ind w:right="1" w:right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68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3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外包装尺寸</w:t>
            </w:r>
          </w:p>
        </w:tc>
        <w:tc>
          <w:tcPr>
            <w:tcW w:w="3952" w:type="dxa"/>
            <w:tcBorders>
              <w:tl2br w:val="nil"/>
              <w:tr2bl w:val="nil"/>
            </w:tcBorders>
            <w:vAlign w:val="top"/>
          </w:tcPr>
          <w:p>
            <w:pPr>
              <w:pStyle w:val="31"/>
              <w:spacing w:before="66" w:line="240" w:lineRule="auto"/>
              <w:ind w:left="102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585*385*185mm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11430</wp:posOffset>
            </wp:positionV>
            <wp:extent cx="328930" cy="128270"/>
            <wp:effectExtent l="0" t="0" r="4445" b="5080"/>
            <wp:wrapNone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6252845</wp:posOffset>
            </wp:positionH>
            <wp:positionV relativeFrom="paragraph">
              <wp:posOffset>116840</wp:posOffset>
            </wp:positionV>
            <wp:extent cx="163195" cy="104775"/>
            <wp:effectExtent l="0" t="0" r="8255" b="0"/>
            <wp:wrapNone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19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991" w:bottom="1440" w:left="993" w:header="454" w:footer="90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5711190</wp:posOffset>
          </wp:positionH>
          <wp:positionV relativeFrom="paragraph">
            <wp:posOffset>137160</wp:posOffset>
          </wp:positionV>
          <wp:extent cx="575945" cy="575310"/>
          <wp:effectExtent l="0" t="0" r="5080" b="5715"/>
          <wp:wrapSquare wrapText="bothSides"/>
          <wp:docPr id="15" name="图片 15" descr="C:\Users\PumpkinPotato\Desktop\微信公众号.png微信公众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15" descr="C:\Users\PumpkinPotato\Desktop\微信公众号.png微信公众号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t xml:space="preserve"> </w:t>
    </w:r>
    <w:r>
      <w:rPr>
        <w:rFonts w:hint="eastAsia"/>
      </w:rPr>
      <w:drawing>
        <wp:inline distT="0" distB="0" distL="114300" distR="114300">
          <wp:extent cx="3731260" cy="695325"/>
          <wp:effectExtent l="0" t="0" r="2540" b="0"/>
          <wp:docPr id="6" name="图片 6" descr="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页脚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3126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hint="eastAsia"/>
      </w:rPr>
      <w:t xml:space="preserve">                </w:t>
    </w:r>
  </w:p>
  <w:p>
    <w:pPr>
      <w:pStyle w:val="9"/>
      <w:ind w:right="600"/>
      <w:jc w:val="right"/>
    </w:pP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>页码：第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begin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instrText xml:space="preserve">PAGE  \* Arabic  \* MERGEFORMAT</w:instrTex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separate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1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end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页</w:t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  <w:lang w:val="zh-CN"/>
      </w:rPr>
      <w:t xml:space="preserve"> /共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begin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instrText xml:space="preserve">NUMPAGES  \* Arabic  \* MERGEFORMAT</w:instrTex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separate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4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end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页</w:t>
    </w:r>
    <w:r>
      <w:rPr>
        <w:rFonts w:hint="eastAsia"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 xml:space="preserve"> </w:t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ab/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 xml:space="preserve">      表单号：BD-CPCTY-0001 A0</w:t>
    </w:r>
    <w:r>
      <w:rPr>
        <w:rFonts w:ascii="Times New Roman" w:hAnsi="Times New Roman" w:eastAsia="宋体" w:cs="Times New Roman"/>
        <w:sz w:val="20"/>
        <w:szCs w:val="20"/>
      </w:rPr>
      <w:t xml:space="preserve">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both"/>
    </w:pPr>
    <w:r>
      <w:drawing>
        <wp:inline distT="0" distB="0" distL="114300" distR="114300">
          <wp:extent cx="2204085" cy="683895"/>
          <wp:effectExtent l="0" t="0" r="5715" b="190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08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</w:rPr>
      <w:t xml:space="preserve">   </w:t>
    </w:r>
    <w:r>
      <w:rPr>
        <w:rFonts w:hint="eastAsia"/>
        <w:lang w:val="en-US" w:eastAsia="zh-CN"/>
      </w:rPr>
      <w:t xml:space="preserve">                        </w:t>
    </w:r>
    <w:r>
      <w:rPr>
        <w:rFonts w:hint="eastAsia"/>
      </w:rPr>
      <w:t xml:space="preserve">  </w:t>
    </w:r>
    <w:r>
      <w:rPr>
        <w:rFonts w:hint="eastAsia" w:eastAsiaTheme="minorEastAsia"/>
        <w:lang w:eastAsia="zh-CN"/>
      </w:rPr>
      <w:drawing>
        <wp:inline distT="0" distB="0" distL="114300" distR="114300">
          <wp:extent cx="2376805" cy="713740"/>
          <wp:effectExtent l="0" t="0" r="4445" b="635"/>
          <wp:docPr id="3" name="图片 3" descr="页眉右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页眉右边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6805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2NDY4NDdlNzRkMWM2MjI0MmUwZDhlMTI5NTg1YWEifQ=="/>
  </w:docVars>
  <w:rsids>
    <w:rsidRoot w:val="00EE2239"/>
    <w:rsid w:val="00034552"/>
    <w:rsid w:val="00086AFE"/>
    <w:rsid w:val="00093538"/>
    <w:rsid w:val="000A64E2"/>
    <w:rsid w:val="000B3DFC"/>
    <w:rsid w:val="000F5B6D"/>
    <w:rsid w:val="00102DB8"/>
    <w:rsid w:val="001128B1"/>
    <w:rsid w:val="00131FEB"/>
    <w:rsid w:val="00132C8D"/>
    <w:rsid w:val="001343A8"/>
    <w:rsid w:val="00157397"/>
    <w:rsid w:val="0017241F"/>
    <w:rsid w:val="001E03F6"/>
    <w:rsid w:val="00210A86"/>
    <w:rsid w:val="0029030D"/>
    <w:rsid w:val="00295F7B"/>
    <w:rsid w:val="002B3994"/>
    <w:rsid w:val="002C6ADA"/>
    <w:rsid w:val="002D6FB1"/>
    <w:rsid w:val="00315BB1"/>
    <w:rsid w:val="0035080F"/>
    <w:rsid w:val="00352C00"/>
    <w:rsid w:val="003D75DC"/>
    <w:rsid w:val="003F266E"/>
    <w:rsid w:val="00400A93"/>
    <w:rsid w:val="00432739"/>
    <w:rsid w:val="00457C71"/>
    <w:rsid w:val="004773A2"/>
    <w:rsid w:val="004A22AA"/>
    <w:rsid w:val="004A6AB6"/>
    <w:rsid w:val="004B6616"/>
    <w:rsid w:val="004D7995"/>
    <w:rsid w:val="004E30D0"/>
    <w:rsid w:val="004F3B59"/>
    <w:rsid w:val="00504BAC"/>
    <w:rsid w:val="0051138D"/>
    <w:rsid w:val="00514AFB"/>
    <w:rsid w:val="0053098E"/>
    <w:rsid w:val="00552C74"/>
    <w:rsid w:val="005701E6"/>
    <w:rsid w:val="00583456"/>
    <w:rsid w:val="00590301"/>
    <w:rsid w:val="00592132"/>
    <w:rsid w:val="005A7A0C"/>
    <w:rsid w:val="005B0A3E"/>
    <w:rsid w:val="005C604B"/>
    <w:rsid w:val="006026D1"/>
    <w:rsid w:val="006355BE"/>
    <w:rsid w:val="00655A27"/>
    <w:rsid w:val="006854D3"/>
    <w:rsid w:val="006B2397"/>
    <w:rsid w:val="006C5CB9"/>
    <w:rsid w:val="006E75AA"/>
    <w:rsid w:val="007067D8"/>
    <w:rsid w:val="00773493"/>
    <w:rsid w:val="0077496E"/>
    <w:rsid w:val="00790D07"/>
    <w:rsid w:val="007B412B"/>
    <w:rsid w:val="007B5223"/>
    <w:rsid w:val="0080459E"/>
    <w:rsid w:val="008C43E8"/>
    <w:rsid w:val="00906440"/>
    <w:rsid w:val="00916CC4"/>
    <w:rsid w:val="00917A5E"/>
    <w:rsid w:val="0093237D"/>
    <w:rsid w:val="00950714"/>
    <w:rsid w:val="00983086"/>
    <w:rsid w:val="009C02FC"/>
    <w:rsid w:val="009D2E7B"/>
    <w:rsid w:val="009D4C9F"/>
    <w:rsid w:val="00A00E7B"/>
    <w:rsid w:val="00A543DF"/>
    <w:rsid w:val="00A55A95"/>
    <w:rsid w:val="00A66659"/>
    <w:rsid w:val="00A837FF"/>
    <w:rsid w:val="00AB2232"/>
    <w:rsid w:val="00AB7A25"/>
    <w:rsid w:val="00AF25A0"/>
    <w:rsid w:val="00AF7A26"/>
    <w:rsid w:val="00B465D8"/>
    <w:rsid w:val="00B55148"/>
    <w:rsid w:val="00B557FF"/>
    <w:rsid w:val="00B72D1A"/>
    <w:rsid w:val="00BB08E1"/>
    <w:rsid w:val="00BC2526"/>
    <w:rsid w:val="00C10124"/>
    <w:rsid w:val="00C13E44"/>
    <w:rsid w:val="00C171C3"/>
    <w:rsid w:val="00C41ADF"/>
    <w:rsid w:val="00D26A4B"/>
    <w:rsid w:val="00D2756F"/>
    <w:rsid w:val="00D32400"/>
    <w:rsid w:val="00D706BE"/>
    <w:rsid w:val="00D84E81"/>
    <w:rsid w:val="00DC52F9"/>
    <w:rsid w:val="00E21325"/>
    <w:rsid w:val="00E32342"/>
    <w:rsid w:val="00E523E0"/>
    <w:rsid w:val="00E67346"/>
    <w:rsid w:val="00EC3907"/>
    <w:rsid w:val="00EE2239"/>
    <w:rsid w:val="00F35BB0"/>
    <w:rsid w:val="00F41DB5"/>
    <w:rsid w:val="00F67EB6"/>
    <w:rsid w:val="00FC211B"/>
    <w:rsid w:val="00FD01D8"/>
    <w:rsid w:val="025D5E9D"/>
    <w:rsid w:val="057E74F5"/>
    <w:rsid w:val="0734118B"/>
    <w:rsid w:val="092D5391"/>
    <w:rsid w:val="097D4F5F"/>
    <w:rsid w:val="0BE81B6C"/>
    <w:rsid w:val="0E6B3F52"/>
    <w:rsid w:val="101C440E"/>
    <w:rsid w:val="114E06C3"/>
    <w:rsid w:val="117619C8"/>
    <w:rsid w:val="12800587"/>
    <w:rsid w:val="15E2762C"/>
    <w:rsid w:val="16852CE2"/>
    <w:rsid w:val="16CA259A"/>
    <w:rsid w:val="17283A6B"/>
    <w:rsid w:val="17D80473"/>
    <w:rsid w:val="183028D1"/>
    <w:rsid w:val="18D94D16"/>
    <w:rsid w:val="1C024584"/>
    <w:rsid w:val="1D61352C"/>
    <w:rsid w:val="1E7B061E"/>
    <w:rsid w:val="1F10520A"/>
    <w:rsid w:val="1F14208B"/>
    <w:rsid w:val="207F7B8E"/>
    <w:rsid w:val="21F11323"/>
    <w:rsid w:val="22EA5D72"/>
    <w:rsid w:val="2398039C"/>
    <w:rsid w:val="25BE7EB3"/>
    <w:rsid w:val="2A046362"/>
    <w:rsid w:val="2A6428AE"/>
    <w:rsid w:val="2A64640A"/>
    <w:rsid w:val="2B847C6D"/>
    <w:rsid w:val="2D1C7470"/>
    <w:rsid w:val="2D20584C"/>
    <w:rsid w:val="2D870D8D"/>
    <w:rsid w:val="2E335B48"/>
    <w:rsid w:val="302C5C1C"/>
    <w:rsid w:val="311A1F18"/>
    <w:rsid w:val="315E1E05"/>
    <w:rsid w:val="32130E41"/>
    <w:rsid w:val="331704BD"/>
    <w:rsid w:val="340547BA"/>
    <w:rsid w:val="37960F73"/>
    <w:rsid w:val="3825367C"/>
    <w:rsid w:val="38CC3AF8"/>
    <w:rsid w:val="39BD040F"/>
    <w:rsid w:val="3A9C797B"/>
    <w:rsid w:val="3BC66F24"/>
    <w:rsid w:val="3DFC6C2D"/>
    <w:rsid w:val="3DFE0BF8"/>
    <w:rsid w:val="3E8A248B"/>
    <w:rsid w:val="3F163D1F"/>
    <w:rsid w:val="40445D32"/>
    <w:rsid w:val="445F194D"/>
    <w:rsid w:val="463C3D3C"/>
    <w:rsid w:val="49C8030C"/>
    <w:rsid w:val="4A056E6A"/>
    <w:rsid w:val="4D063625"/>
    <w:rsid w:val="4DCD43CE"/>
    <w:rsid w:val="4E870795"/>
    <w:rsid w:val="4E9764FE"/>
    <w:rsid w:val="4EA8496E"/>
    <w:rsid w:val="503E4E84"/>
    <w:rsid w:val="50BB2978"/>
    <w:rsid w:val="525C3CE7"/>
    <w:rsid w:val="538C05FC"/>
    <w:rsid w:val="552F7491"/>
    <w:rsid w:val="56755377"/>
    <w:rsid w:val="57160908"/>
    <w:rsid w:val="59417793"/>
    <w:rsid w:val="5A737E20"/>
    <w:rsid w:val="5AFC6067"/>
    <w:rsid w:val="5B5A4166"/>
    <w:rsid w:val="5C0C052C"/>
    <w:rsid w:val="5C147C09"/>
    <w:rsid w:val="5CD5091E"/>
    <w:rsid w:val="5D9E51B4"/>
    <w:rsid w:val="60600E46"/>
    <w:rsid w:val="61AA1D5B"/>
    <w:rsid w:val="62053A53"/>
    <w:rsid w:val="64BE25DF"/>
    <w:rsid w:val="64FD69D8"/>
    <w:rsid w:val="65235B46"/>
    <w:rsid w:val="66793E2F"/>
    <w:rsid w:val="668C4743"/>
    <w:rsid w:val="677671A1"/>
    <w:rsid w:val="690A736D"/>
    <w:rsid w:val="69586B5E"/>
    <w:rsid w:val="6B103BB8"/>
    <w:rsid w:val="6B8F2304"/>
    <w:rsid w:val="6C044D7B"/>
    <w:rsid w:val="6C225455"/>
    <w:rsid w:val="6DC01176"/>
    <w:rsid w:val="6F80296B"/>
    <w:rsid w:val="728704B4"/>
    <w:rsid w:val="729A269C"/>
    <w:rsid w:val="746C5BB4"/>
    <w:rsid w:val="74CD3C98"/>
    <w:rsid w:val="778C777D"/>
    <w:rsid w:val="77BE6DDB"/>
    <w:rsid w:val="77BF424C"/>
    <w:rsid w:val="784746D5"/>
    <w:rsid w:val="7BFC5A6F"/>
    <w:rsid w:val="7DE7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4"/>
    <w:next w:val="1"/>
    <w:link w:val="23"/>
    <w:qFormat/>
    <w:uiPriority w:val="9"/>
    <w:pPr>
      <w:spacing w:before="340" w:after="330" w:line="578" w:lineRule="auto"/>
      <w:outlineLvl w:val="0"/>
    </w:pPr>
    <w:rPr>
      <w:kern w:val="44"/>
      <w:sz w:val="44"/>
      <w:szCs w:val="44"/>
    </w:rPr>
  </w:style>
  <w:style w:type="paragraph" w:styleId="4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6">
    <w:name w:val="heading 9"/>
    <w:basedOn w:val="1"/>
    <w:next w:val="1"/>
    <w:unhideWhenUsed/>
    <w:qFormat/>
    <w:uiPriority w:val="9"/>
    <w:pPr>
      <w:keepNext/>
      <w:keepLines/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7">
    <w:name w:val="Body Text"/>
    <w:basedOn w:val="1"/>
    <w:qFormat/>
    <w:uiPriority w:val="1"/>
    <w:pPr>
      <w:spacing w:before="115"/>
      <w:ind w:left="600"/>
    </w:pPr>
    <w:rPr>
      <w:rFonts w:ascii="宋体" w:hAnsi="宋体"/>
      <w:sz w:val="20"/>
      <w:szCs w:val="20"/>
    </w:rPr>
  </w:style>
  <w:style w:type="paragraph" w:styleId="8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semiHidden/>
    <w:unhideWhenUsed/>
    <w:qFormat/>
    <w:uiPriority w:val="39"/>
    <w:pPr>
      <w:ind w:left="420" w:leftChars="200"/>
    </w:pPr>
  </w:style>
  <w:style w:type="character" w:styleId="15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字符"/>
    <w:basedOn w:val="14"/>
    <w:link w:val="10"/>
    <w:qFormat/>
    <w:uiPriority w:val="99"/>
    <w:rPr>
      <w:sz w:val="18"/>
      <w:szCs w:val="18"/>
    </w:rPr>
  </w:style>
  <w:style w:type="character" w:customStyle="1" w:styleId="17">
    <w:name w:val="页脚 字符"/>
    <w:basedOn w:val="14"/>
    <w:link w:val="9"/>
    <w:qFormat/>
    <w:uiPriority w:val="99"/>
    <w:rPr>
      <w:sz w:val="18"/>
      <w:szCs w:val="18"/>
    </w:rPr>
  </w:style>
  <w:style w:type="character" w:customStyle="1" w:styleId="18">
    <w:name w:val="批注框文本 字符"/>
    <w:basedOn w:val="14"/>
    <w:link w:val="8"/>
    <w:semiHidden/>
    <w:qFormat/>
    <w:uiPriority w:val="99"/>
    <w:rPr>
      <w:sz w:val="18"/>
      <w:szCs w:val="18"/>
    </w:rPr>
  </w:style>
  <w:style w:type="character" w:customStyle="1" w:styleId="19">
    <w:name w:val="标题 3 字符"/>
    <w:basedOn w:val="14"/>
    <w:link w:val="5"/>
    <w:qFormat/>
    <w:uiPriority w:val="9"/>
    <w:rPr>
      <w:b/>
      <w:sz w:val="32"/>
    </w:rPr>
  </w:style>
  <w:style w:type="character" w:customStyle="1" w:styleId="20">
    <w:name w:val="标题 2 字符"/>
    <w:basedOn w:val="14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1">
    <w:name w:val="列表段落1"/>
    <w:basedOn w:val="1"/>
    <w:qFormat/>
    <w:uiPriority w:val="34"/>
    <w:pPr>
      <w:ind w:firstLine="420" w:firstLineChars="200"/>
    </w:p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标题 1 字符"/>
    <w:basedOn w:val="14"/>
    <w:link w:val="3"/>
    <w:qFormat/>
    <w:uiPriority w:val="9"/>
    <w:rPr>
      <w:b/>
      <w:bCs/>
      <w:kern w:val="44"/>
      <w:sz w:val="44"/>
      <w:szCs w:val="44"/>
    </w:rPr>
  </w:style>
  <w:style w:type="paragraph" w:customStyle="1" w:styleId="24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25">
    <w:name w:val="图片"/>
    <w:basedOn w:val="1"/>
    <w:qFormat/>
    <w:uiPriority w:val="0"/>
    <w:pPr>
      <w:spacing w:before="50" w:beforeLines="50" w:line="480" w:lineRule="auto"/>
      <w:jc w:val="center"/>
    </w:pPr>
    <w:rPr>
      <w:rFonts w:ascii="Times New Roman" w:hAnsi="Times New Roman" w:cs="Times New Roman"/>
      <w:color w:val="000000"/>
      <w:kern w:val="0"/>
      <w:sz w:val="19"/>
      <w:szCs w:val="19"/>
      <w:lang w:val="zh-CN" w:bidi="zh-CN"/>
    </w:rPr>
  </w:style>
  <w:style w:type="paragraph" w:customStyle="1" w:styleId="26">
    <w:name w:val="样式1"/>
    <w:basedOn w:val="3"/>
    <w:next w:val="1"/>
    <w:qFormat/>
    <w:uiPriority w:val="0"/>
    <w:pPr>
      <w:spacing w:before="100" w:after="90"/>
    </w:pPr>
  </w:style>
  <w:style w:type="paragraph" w:customStyle="1" w:styleId="27">
    <w:name w:val="样式2"/>
    <w:basedOn w:val="3"/>
    <w:next w:val="1"/>
    <w:qFormat/>
    <w:uiPriority w:val="0"/>
    <w:pPr>
      <w:spacing w:before="120" w:after="120" w:line="360" w:lineRule="auto"/>
    </w:pPr>
  </w:style>
  <w:style w:type="paragraph" w:customStyle="1" w:styleId="28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29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0">
    <w:name w:val="WPSOffice手动目录 3"/>
    <w:qFormat/>
    <w:uiPriority w:val="0"/>
    <w:pPr>
      <w:ind w:left="400" w:leftChars="4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80060-F4E9-4DD0-AFA0-A2E37B7990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1684</Words>
  <Characters>2077</Characters>
  <Lines>6</Lines>
  <Paragraphs>1</Paragraphs>
  <TotalTime>0</TotalTime>
  <ScaleCrop>false</ScaleCrop>
  <LinksUpToDate>false</LinksUpToDate>
  <CharactersWithSpaces>2152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2022-11-15T03:05:00Z</dcterms:created>
  <dc:creator>Sky123.Org</dc:creator>
  <cp:lastModifiedBy>南瓜土豆</cp:lastModifiedBy>
  <cp:lastPrinted>2022-11-15T03:28:00Z</cp:lastPrinted>
  <dcterms:modified xsi:type="dcterms:W3CDTF">2022-12-20T08:12:56Z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296ED12F85624348BA73CFD946E0C537</vt:lpwstr>
  </property>
</Properties>
</file>