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bookmarkStart w:id="0" w:name="_Hlk34051380"/>
    </w:p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  <w:t>智能天线分配器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color w:val="1E1916"/>
          <w:w w:val="110"/>
          <w:sz w:val="36"/>
          <w:szCs w:val="36"/>
        </w:rPr>
      </w:pPr>
      <w:r>
        <w:rPr>
          <w:rFonts w:hint="eastAsia" w:ascii="微软雅黑" w:hAnsi="微软雅黑" w:eastAsia="微软雅黑"/>
          <w:color w:val="1E1916"/>
          <w:w w:val="110"/>
          <w:sz w:val="36"/>
          <w:szCs w:val="36"/>
        </w:rPr>
        <w:t>DW-UK-2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p>
      <w:pPr>
        <w:pStyle w:val="2"/>
        <w:rPr>
          <w:rFonts w:hint="eastAsia"/>
        </w:rPr>
      </w:pPr>
    </w:p>
    <w:bookmarkEnd w:id="0"/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  <w:lang w:eastAsia="zh-CN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pStyle w:val="2"/>
        <w:ind w:firstLine="480" w:firstLineChars="200"/>
        <w:rPr>
          <w:highlight w:val="none"/>
        </w:rPr>
      </w:pPr>
    </w:p>
    <w:p>
      <w:pPr>
        <w:widowControl/>
        <w:jc w:val="left"/>
        <w:rPr>
          <w:rFonts w:ascii="Arial" w:hAnsi="Arial" w:eastAsia="微软雅黑" w:cs="Arial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991" w:bottom="1440" w:left="993" w:header="454" w:footer="907" w:gutter="0"/>
          <w:cols w:space="425" w:num="1"/>
          <w:docGrid w:type="lines" w:linePitch="312" w:charSpace="0"/>
        </w:sectPr>
      </w:pPr>
      <w:r>
        <w:rPr>
          <w:rFonts w:ascii="Arial" w:hAnsi="Arial" w:eastAsia="微软雅黑" w:cs="Arial"/>
          <w:sz w:val="28"/>
          <w:szCs w:val="28"/>
        </w:rPr>
        <w:br w:type="page"/>
      </w:r>
    </w:p>
    <w:sdt>
      <w:sdtP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id w:val="147451692"/>
        <w15:color w:val="DBDBDB"/>
        <w:docPartObj>
          <w:docPartGallery w:val="Table of Contents"/>
          <w:docPartUnique/>
        </w:docPartObj>
      </w:sdtPr>
      <w:sdtEndPr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sz w:val="32"/>
              <w:szCs w:val="32"/>
            </w:rPr>
          </w:pPr>
          <w:r>
            <w:rPr>
              <w:rFonts w:hint="eastAsia" w:ascii="微软雅黑" w:hAnsi="微软雅黑" w:eastAsia="微软雅黑" w:cs="微软雅黑"/>
              <w:sz w:val="32"/>
              <w:szCs w:val="32"/>
            </w:rPr>
            <w:t>目录</w:t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_Toc1981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kern w:val="0"/>
              <w:szCs w:val="36"/>
              <w:lang w:val="en-US" w:eastAsia="zh-CN" w:bidi="ar"/>
            </w:rPr>
            <w:t>一、产品特点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_Toc1981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_Toc4077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kern w:val="0"/>
              <w:szCs w:val="36"/>
              <w:lang w:val="en-US" w:eastAsia="zh-CN" w:bidi="ar"/>
            </w:rPr>
            <w:t>二、产品参数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_Toc4077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_Toc31187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0"/>
              <w:lang w:val="en-US" w:eastAsia="zh-CN" w:bidi="ar-SA"/>
            </w:rPr>
            <w:t>2.1指向性天线技术指标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_Toc31187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_Toc7923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0"/>
              <w:lang w:val="en-US" w:eastAsia="zh-CN" w:bidi="ar-SA"/>
            </w:rPr>
            <w:t>2.2天线分配放大器技术指标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_Toc7923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5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kern w:val="0"/>
              <w:szCs w:val="36"/>
              <w:lang w:val="en-US" w:eastAsia="zh-CN" w:bidi="ar"/>
            </w:rPr>
            <w:t>三、产品功能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_Toc2190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6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_Toc31866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0"/>
              <w:lang w:val="en-US" w:eastAsia="zh-CN" w:bidi="ar-SA"/>
            </w:rPr>
            <w:t>3.1有源天线各部位名称及功能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_Toc31866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6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_Toc7021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30"/>
              <w:lang w:val="en-US" w:eastAsia="zh-CN" w:bidi="ar-SA"/>
            </w:rPr>
            <w:t xml:space="preserve">3.2有源天线分配放大器各部位名称及功能 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_Toc7021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7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92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_Toc26534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kern w:val="2"/>
              <w:szCs w:val="28"/>
              <w:lang w:val="en-US" w:eastAsia="zh-CN" w:bidi="ar-SA"/>
            </w:rPr>
            <w:t>3.3安装说明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_Toc26534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8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2"/>
            <w:sectPr>
              <w:pgSz w:w="11906" w:h="16838"/>
              <w:pgMar w:top="1440" w:right="991" w:bottom="1440" w:left="993" w:header="454" w:footer="907" w:gutter="0"/>
              <w:cols w:space="425" w:num="1"/>
              <w:docGrid w:type="lines" w:linePitch="312" w:charSpace="0"/>
            </w:sectPr>
          </w:pPr>
          <w:r>
            <w:fldChar w:fldCharType="end"/>
          </w:r>
          <w:bookmarkStart w:id="9" w:name="_GoBack"/>
          <w:bookmarkEnd w:id="9"/>
        </w:p>
      </w:sdtContent>
    </w:sdt>
    <w:p>
      <w:pPr>
        <w:pStyle w:val="2"/>
      </w:pPr>
    </w:p>
    <w:p>
      <w:pPr>
        <w:outlineLvl w:val="0"/>
        <w:rPr>
          <w:rFonts w:hint="eastAsia" w:ascii="微软雅黑" w:hAnsi="微软雅黑" w:eastAsia="微软雅黑" w:cs="微软雅黑"/>
          <w:color w:val="231F20"/>
          <w:kern w:val="0"/>
          <w:sz w:val="24"/>
          <w:szCs w:val="24"/>
          <w:lang w:val="en-US" w:eastAsia="zh-CN" w:bidi="ar"/>
        </w:rPr>
      </w:pPr>
      <w:bookmarkStart w:id="1" w:name="_Toc1981"/>
      <w:r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  <w:t>一、产品特点</w:t>
      </w:r>
      <w:bookmarkEnd w:id="1"/>
      <w:r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有源指向性天线采用对数周期偶极振子阵列，为UHF频段500-950M Hz的无线系统提供2合1式的高增益的接收能力，而接收频带已覆盖整个UHF通道。整式的定向天线设计，为分集式UHF无线系统提供理想的远程距离和稳定的接收表现。另外，亦可作多通道无线系统的共用天线。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天线放大器是设计于需要远距离接收和发射的应用，如体育馆、演唱会、剧场、及大型演出场所；或一些会阻挡视线及接收的环境。另外，天线可轻易稳固的安装；同时亦可容易地拆除，方便携带。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该天线可使用于所有UHF频段的接收机中，并提供180°角度固定频带中的定向覆盖接收。比较接收机附带的标准天线，天线放大器可提供在50欧姆阻抗时约6dB的射频信号提升。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天线是以工业级标准的玻璃铜及铜膜镀层构造，提供耐用，防腐蚀、抗紫外线、防震及轻型的特点，在不同环境下可作长时间及稳定的表现，而天线整合的BNC端子提供了高质量及抵抗阻抗的特性，并能减低连接线的拉力，只能将天线用于可提供8V直流偏压的接收机或分配系统</w:t>
      </w:r>
    </w:p>
    <w:p>
      <w:pPr>
        <w:outlineLvl w:val="0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  <w:bookmarkStart w:id="2" w:name="_Toc4077"/>
      <w:r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  <w:t>二、产品参数</w:t>
      </w:r>
      <w:bookmarkEnd w:id="2"/>
    </w:p>
    <w:p>
      <w:pPr>
        <w:keepNext w:val="0"/>
        <w:keepLines w:val="0"/>
        <w:widowControl/>
        <w:suppressLineNumbers w:val="0"/>
        <w:jc w:val="left"/>
        <w:outlineLvl w:val="1"/>
        <w:rPr>
          <w:rFonts w:hint="default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3" w:name="_Toc31187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>2.1</w:t>
      </w:r>
      <w:r>
        <w:rPr>
          <w:rFonts w:hint="default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>指向性天线技术指标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天线类型 :对数周期偶极阵（LPDA）天线。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工作频带 :500MHz-1GHz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工作电压 ；8V DC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增益：6dB典型 最大值10dB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阻抗：50欧姆 典型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电压驻波比：≦1.7.：1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指向性 ;椭圆形180°典型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指向极性 :垂直（于垂直安装）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导波器段数 ；11段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连接端子 ;固定式直角 BNC母座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重量 :310克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外形尺寸:348mm长×325mm高×25mm厚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构造 ：玻璃铜及铜膜镜层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涂层 ：暗黑色</w:t>
      </w:r>
    </w:p>
    <w:p>
      <w:pPr>
        <w:widowControl/>
        <w:ind w:firstLine="480" w:firstLineChars="200"/>
        <w:jc w:val="left"/>
        <w:rPr>
          <w:rFonts w:hint="eastAsia" w:ascii="Arial" w:hAnsi="Arial" w:eastAsia="微软雅黑" w:cs="Arial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outlineLvl w:val="1"/>
        <w:rPr>
          <w:rFonts w:hint="default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4" w:name="_Toc7923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>2.2</w:t>
      </w:r>
      <w:r>
        <w:rPr>
          <w:rFonts w:hint="default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>天线分配放大器技术指标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天线分配器：一分二 / 一分四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工作频带 ：</w:t>
      </w:r>
      <w:r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500MHz - 1GHz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增益 ;</w:t>
      </w:r>
      <w:r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6 - 10dB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工作电源 ；</w:t>
      </w:r>
      <w:r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DC 12V 2A / DC 12V 3A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输出外接电源 ：</w:t>
      </w:r>
      <w:r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  <w:t>DC 12V 800MA</w:t>
      </w: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outlineLvl w:val="9"/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outlineLvl w:val="0"/>
      </w:pPr>
      <w:bookmarkStart w:id="5" w:name="_Toc2190"/>
      <w:r>
        <w:rPr>
          <w:rFonts w:hint="eastAsia" w:ascii="微软雅黑" w:hAnsi="微软雅黑" w:eastAsia="微软雅黑" w:cs="微软雅黑"/>
          <w:b/>
          <w:color w:val="000008"/>
          <w:kern w:val="0"/>
          <w:sz w:val="36"/>
          <w:szCs w:val="36"/>
          <w:lang w:val="en-US" w:eastAsia="zh-CN" w:bidi="ar"/>
        </w:rPr>
        <w:t>三、产品功能</w:t>
      </w:r>
      <w:bookmarkEnd w:id="5"/>
    </w:p>
    <w:p>
      <w:pPr>
        <w:keepNext w:val="0"/>
        <w:keepLines w:val="0"/>
        <w:widowControl/>
        <w:suppressLineNumbers w:val="0"/>
        <w:jc w:val="left"/>
        <w:outlineLvl w:val="1"/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6" w:name="_Toc31866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>3.1有源天线各部位名称及功能</w:t>
      </w:r>
      <w:bookmarkEnd w:id="6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outlineLvl w:val="9"/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3806825" cy="3366135"/>
            <wp:effectExtent l="0" t="0" r="3175" b="571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Arial" w:hAnsi="Arial" w:eastAsia="微软雅黑" w:cs="Arial"/>
          <w:sz w:val="24"/>
          <w:szCs w:val="24"/>
          <w:highlight w:val="none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① 有源天线放大模块：放大接收信号。 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② R F 指示灯：显示天线工作状态。 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③ BNC接头：使用天线电缆连接到具有8V DC电源的接收机或天线分 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配器的天线输入连接座。 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④ 支架座： 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★有源指向性天线：用以架设在三脚架上。 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★有源挂墙式、壁挂式宽频天线：用以架设挂墙式角码和支架式角码上。</w:t>
      </w:r>
    </w:p>
    <w:p>
      <w:pPr>
        <w:widowControl/>
        <w:ind w:firstLine="480" w:firstLineChars="200"/>
        <w:jc w:val="left"/>
        <w:rPr>
          <w:rFonts w:hint="eastAsia" w:ascii="Arial" w:hAnsi="Arial" w:eastAsia="微软雅黑" w:cs="Arial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1201" w:hanging="1201" w:hangingChars="400"/>
        <w:jc w:val="left"/>
        <w:outlineLvl w:val="1"/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7" w:name="_Toc7021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 xml:space="preserve">3.2有源天线分配放大器各部位名称及功能 </w:t>
      </w:r>
      <w:r>
        <w:drawing>
          <wp:inline distT="0" distB="0" distL="114300" distR="114300">
            <wp:extent cx="4527550" cy="4881880"/>
            <wp:effectExtent l="0" t="0" r="6350" b="444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>
      <w:pPr>
        <w:widowControl/>
        <w:ind w:firstLine="480" w:firstLineChars="200"/>
        <w:jc w:val="left"/>
        <w:rPr>
          <w:rFonts w:hint="eastAsia" w:ascii="Arial" w:hAnsi="Arial" w:eastAsia="微软雅黑" w:cs="Arial"/>
          <w:sz w:val="24"/>
          <w:szCs w:val="24"/>
          <w:highlight w:val="none"/>
          <w:lang w:val="en-US" w:eastAsia="zh-CN"/>
        </w:rPr>
      </w:pPr>
    </w:p>
    <w:p>
      <w:pPr>
        <w:widowControl/>
        <w:ind w:firstLine="420" w:firstLineChars="20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① DC电源输出：供给12V直流。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② 天线B信号输入接口：接收天线的信号，提供8V直流供给天线。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③ 天线B信号输出接口：输出天线的信号。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④ DC电源输入：天线分配放大器主机电源插座。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⑤ 天线A信号输出接口：输出天线的信号。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⑥ 天线A信号输入接口：接收天线的信号，提供8V直流供给天线。 </w:t>
      </w:r>
    </w:p>
    <w:p>
      <w:pPr>
        <w:keepNext w:val="0"/>
        <w:keepLines w:val="0"/>
        <w:widowControl/>
        <w:suppressLineNumbers w:val="0"/>
        <w:jc w:val="left"/>
        <w:outlineLvl w:val="1"/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</w:pPr>
      <w:bookmarkStart w:id="8" w:name="_Toc26534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  <w:t>3.3安装说明</w:t>
      </w:r>
      <w:bookmarkEnd w:id="8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1.将支架座架设在三脚架或挂墙式角码上。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584065" cy="2218055"/>
            <wp:effectExtent l="0" t="0" r="635" b="444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2. 使用天线同轴电缆将两支有源天线的BNC接头③与天线分配器的天线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信号输入接口B②或A⑥连接。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3. 打开天线分配器电源开关，天线上的R F灯点亮，代表天线与有源放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大模块正常工作。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4. 将天线A信号输出接口与接收机天线A用同轴电缆连接，将天线B信号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输出接口与接收机天线B用同轴电缆连接，开启接收机与发射器。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5. 调整天线的方向角度至正确位置，即可获得最佳性能效果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670300" cy="207010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注意：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1. 天线安装应高于1.8米的高度。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2. 天线位置要设在直接看到发射机而周边大于1.5米的范围内无障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碍物（大型金属品或干扰的信号源）的位置。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3. 连接到接收机与天线分配器的同轴电缆尽量减短。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4. 天线会受到天气环境的影响，在户外使用时，请把天线放置在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干燥的位置，湿气及雨水会影响BNC接头及同轴电缆线的能效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与安全。 </w:t>
      </w: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  <w:rPr>
          <w:rFonts w:hint="eastAsia" w:ascii="Arial" w:hAnsi="Arial" w:eastAsia="微软雅黑" w:cs="Arial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5711190</wp:posOffset>
          </wp:positionH>
          <wp:positionV relativeFrom="paragraph">
            <wp:posOffset>137160</wp:posOffset>
          </wp:positionV>
          <wp:extent cx="575945" cy="575310"/>
          <wp:effectExtent l="0" t="0" r="5080" b="5715"/>
          <wp:wrapSquare wrapText="bothSides"/>
          <wp:docPr id="15" name="图片 15" descr="C:\Users\PumpkinPotato\Desktop\微信公众号.png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PumpkinPotato\Desktop\微信公众号.png微信公众号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9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2204085" cy="683895"/>
          <wp:effectExtent l="0" t="0" r="5715" b="190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713740"/>
          <wp:effectExtent l="0" t="0" r="4445" b="635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DF9CA"/>
    <w:multiLevelType w:val="singleLevel"/>
    <w:tmpl w:val="003DF9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41DB5"/>
    <w:rsid w:val="00F67EB6"/>
    <w:rsid w:val="00FC211B"/>
    <w:rsid w:val="00FD01D8"/>
    <w:rsid w:val="03AA64A6"/>
    <w:rsid w:val="057E74F5"/>
    <w:rsid w:val="08F15804"/>
    <w:rsid w:val="092D5391"/>
    <w:rsid w:val="097D4F5F"/>
    <w:rsid w:val="0BE81B6C"/>
    <w:rsid w:val="101C440E"/>
    <w:rsid w:val="114E06C3"/>
    <w:rsid w:val="117619C8"/>
    <w:rsid w:val="15E2762C"/>
    <w:rsid w:val="16852CE2"/>
    <w:rsid w:val="16CA259A"/>
    <w:rsid w:val="17283A6B"/>
    <w:rsid w:val="17D80473"/>
    <w:rsid w:val="183028D1"/>
    <w:rsid w:val="18D94D16"/>
    <w:rsid w:val="19E971DB"/>
    <w:rsid w:val="1C024584"/>
    <w:rsid w:val="1D61352C"/>
    <w:rsid w:val="1E7B061E"/>
    <w:rsid w:val="1F10520A"/>
    <w:rsid w:val="1F14208B"/>
    <w:rsid w:val="207F7B8E"/>
    <w:rsid w:val="21F11323"/>
    <w:rsid w:val="22EA5D72"/>
    <w:rsid w:val="2398039C"/>
    <w:rsid w:val="25BE7EB3"/>
    <w:rsid w:val="2A6428AE"/>
    <w:rsid w:val="2A64640A"/>
    <w:rsid w:val="2B847C6D"/>
    <w:rsid w:val="2D1C7470"/>
    <w:rsid w:val="2D870D8D"/>
    <w:rsid w:val="2E335B48"/>
    <w:rsid w:val="302C5C1C"/>
    <w:rsid w:val="311A1F18"/>
    <w:rsid w:val="315E1E05"/>
    <w:rsid w:val="32130E41"/>
    <w:rsid w:val="331704BD"/>
    <w:rsid w:val="340547BA"/>
    <w:rsid w:val="37960F73"/>
    <w:rsid w:val="3825367C"/>
    <w:rsid w:val="38CC3AF8"/>
    <w:rsid w:val="39BD040F"/>
    <w:rsid w:val="3A9C797B"/>
    <w:rsid w:val="3BC66F24"/>
    <w:rsid w:val="3CFD2666"/>
    <w:rsid w:val="3DFC6C2D"/>
    <w:rsid w:val="3DFE0BF8"/>
    <w:rsid w:val="3E8A248B"/>
    <w:rsid w:val="3F163D1F"/>
    <w:rsid w:val="445F194D"/>
    <w:rsid w:val="460D7DBC"/>
    <w:rsid w:val="49C8030C"/>
    <w:rsid w:val="4A056E6A"/>
    <w:rsid w:val="4D063625"/>
    <w:rsid w:val="4E870795"/>
    <w:rsid w:val="4E9764FE"/>
    <w:rsid w:val="4EA8496E"/>
    <w:rsid w:val="503E4E84"/>
    <w:rsid w:val="50BB2978"/>
    <w:rsid w:val="525C3CE7"/>
    <w:rsid w:val="538C05FC"/>
    <w:rsid w:val="552F7491"/>
    <w:rsid w:val="56755377"/>
    <w:rsid w:val="57160908"/>
    <w:rsid w:val="59417793"/>
    <w:rsid w:val="5A737E20"/>
    <w:rsid w:val="5AFC6067"/>
    <w:rsid w:val="5B5A4166"/>
    <w:rsid w:val="5C0C052C"/>
    <w:rsid w:val="5CD5091E"/>
    <w:rsid w:val="5D9E51B4"/>
    <w:rsid w:val="60600E46"/>
    <w:rsid w:val="61AA1D5B"/>
    <w:rsid w:val="62053A53"/>
    <w:rsid w:val="64BE25DF"/>
    <w:rsid w:val="65235B46"/>
    <w:rsid w:val="668C4743"/>
    <w:rsid w:val="677671A1"/>
    <w:rsid w:val="68FA3FFD"/>
    <w:rsid w:val="690A736D"/>
    <w:rsid w:val="69586B5E"/>
    <w:rsid w:val="6C044D7B"/>
    <w:rsid w:val="6DC01176"/>
    <w:rsid w:val="6DD731B8"/>
    <w:rsid w:val="6F80296B"/>
    <w:rsid w:val="728704B4"/>
    <w:rsid w:val="746C5BB4"/>
    <w:rsid w:val="77BE6DDB"/>
    <w:rsid w:val="77BF424C"/>
    <w:rsid w:val="78711F09"/>
    <w:rsid w:val="7B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3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semiHidden/>
    <w:unhideWhenUsed/>
    <w:uiPriority w:val="39"/>
    <w:pPr>
      <w:ind w:left="420" w:leftChars="200"/>
    </w:p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标题 3 字符"/>
    <w:basedOn w:val="14"/>
    <w:link w:val="5"/>
    <w:qFormat/>
    <w:uiPriority w:val="9"/>
    <w:rPr>
      <w:b/>
      <w:sz w:val="32"/>
    </w:rPr>
  </w:style>
  <w:style w:type="character" w:customStyle="1" w:styleId="20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4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5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6">
    <w:name w:val="样式1"/>
    <w:basedOn w:val="3"/>
    <w:next w:val="1"/>
    <w:qFormat/>
    <w:uiPriority w:val="0"/>
    <w:pPr>
      <w:spacing w:before="100" w:after="90"/>
    </w:pPr>
  </w:style>
  <w:style w:type="paragraph" w:customStyle="1" w:styleId="27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1888</Words>
  <Characters>2039</Characters>
  <Lines>6</Lines>
  <Paragraphs>1</Paragraphs>
  <TotalTime>1</TotalTime>
  <ScaleCrop>false</ScaleCrop>
  <LinksUpToDate>false</LinksUpToDate>
  <CharactersWithSpaces>2150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Thorns</cp:lastModifiedBy>
  <cp:lastPrinted>2022-11-15T03:28:00Z</cp:lastPrinted>
  <dcterms:modified xsi:type="dcterms:W3CDTF">2022-12-15T05:38:52Z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8B57B3BEA3FB4F5AA3763965E1B174BE</vt:lpwstr>
  </property>
</Properties>
</file>