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</w:pPr>
      <w:bookmarkStart w:id="0" w:name="_Hlk34051380"/>
    </w:p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  <w:t>一拖二无线头戴话筒</w:t>
      </w:r>
    </w:p>
    <w:p>
      <w:pPr>
        <w:spacing w:line="360" w:lineRule="auto"/>
        <w:jc w:val="center"/>
        <w:rPr>
          <w:rFonts w:hint="eastAsia" w:ascii="微软雅黑" w:hAnsi="微软雅黑" w:eastAsia="微软雅黑"/>
          <w:color w:val="1E1916"/>
          <w:w w:val="11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color w:val="1E1916"/>
          <w:w w:val="110"/>
          <w:sz w:val="36"/>
          <w:szCs w:val="36"/>
          <w:lang w:val="en-US" w:eastAsia="zh-CN"/>
        </w:rPr>
        <w:t>DW-WM962</w:t>
      </w: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户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手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册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  <w:t>V</w:t>
      </w:r>
      <w:r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  <w:t>1.0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2985"/>
          <w:tab w:val="center" w:pos="5201"/>
        </w:tabs>
        <w:spacing w:line="260" w:lineRule="atLeas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上海大因多媒体技术有限公司</w:t>
      </w:r>
    </w:p>
    <w:p>
      <w:pPr>
        <w:spacing w:line="260" w:lineRule="atLeast"/>
        <w:ind w:firstLine="880" w:firstLineChars="2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安全须知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请先阅读所有说明，然后再尝试打开包装，安装或在连接电源之前，请操作本设备。打开包装并安装设备时，请记住以下几点：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</w:t>
      </w:r>
      <w:r>
        <w:rPr>
          <w:rFonts w:ascii="微软雅黑" w:hAnsi="微软雅黑" w:eastAsia="微软雅黑" w:cs="微软雅黑"/>
          <w:sz w:val="24"/>
          <w:szCs w:val="24"/>
        </w:rPr>
        <w:t>始终遵循基本的安全预防措施，以减少火灾风险，电击和人身伤害。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＊为避免起火或电击危险，请勿将本机淋雨，潮湿或将本产品安装在靠近水的地方。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＊切勿将任何液体溅到本产品之上或之中</w:t>
      </w:r>
      <w:r>
        <w:rPr>
          <w:rFonts w:hint="eastAsia"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＊切勿通过任何方式将任何物体塞入本产品设备上的开口或空槽，因为可能会损坏单元内部零件。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＊请勿将电源线连接到建筑物表面。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＊仅使用随附的电源设备。 如果电源已损坏请勿使用。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＊请勿在电源线上放置任何物品在或放置</w:t>
      </w:r>
      <w:r>
        <w:rPr>
          <w:rFonts w:hint="eastAsia" w:ascii="Arial" w:hAnsi="Arial" w:eastAsia="微软雅黑" w:cs="Arial"/>
          <w:sz w:val="24"/>
          <w:szCs w:val="24"/>
        </w:rPr>
        <w:t>在</w:t>
      </w:r>
      <w:r>
        <w:rPr>
          <w:rFonts w:ascii="Arial" w:hAnsi="Arial" w:eastAsia="微软雅黑" w:cs="Arial"/>
          <w:sz w:val="24"/>
          <w:szCs w:val="24"/>
        </w:rPr>
        <w:t>人</w:t>
      </w:r>
      <w:r>
        <w:rPr>
          <w:rFonts w:hint="eastAsia" w:ascii="Arial" w:hAnsi="Arial" w:eastAsia="微软雅黑" w:cs="Arial"/>
          <w:sz w:val="24"/>
          <w:szCs w:val="24"/>
        </w:rPr>
        <w:t>行走的通道上</w:t>
      </w:r>
      <w:r>
        <w:rPr>
          <w:rFonts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＊为防止设备过热，请勿</w:t>
      </w:r>
      <w:r>
        <w:rPr>
          <w:rFonts w:hint="eastAsia" w:ascii="Arial" w:hAnsi="Arial" w:eastAsia="微软雅黑" w:cs="Arial"/>
          <w:sz w:val="24"/>
          <w:szCs w:val="24"/>
        </w:rPr>
        <w:t>将所有设备堆叠在一起</w:t>
      </w:r>
      <w:r>
        <w:rPr>
          <w:rFonts w:ascii="Arial" w:hAnsi="Arial" w:eastAsia="微软雅黑" w:cs="Arial"/>
          <w:sz w:val="24"/>
          <w:szCs w:val="24"/>
        </w:rPr>
        <w:t>或提供通风并允许足够的空间使空气在设备周围流通。</w:t>
      </w:r>
    </w:p>
    <w:p>
      <w:pPr>
        <w:pStyle w:val="2"/>
        <w:ind w:firstLine="480" w:firstLineChars="200"/>
        <w:rPr>
          <w:highlight w:val="none"/>
        </w:rPr>
      </w:pPr>
    </w:p>
    <w:p>
      <w:pPr>
        <w:widowControl/>
        <w:jc w:val="left"/>
        <w:sectPr>
          <w:headerReference r:id="rId3" w:type="default"/>
          <w:footerReference r:id="rId4" w:type="default"/>
          <w:pgSz w:w="11906" w:h="16838"/>
          <w:pgMar w:top="1440" w:right="991" w:bottom="1440" w:left="993" w:header="454" w:footer="907" w:gutter="0"/>
          <w:lnNumType w:countBy="0" w:restart="continuous"/>
          <w:cols w:space="425" w:num="1"/>
          <w:docGrid w:type="lines" w:linePitch="312" w:charSpace="0"/>
        </w:sectPr>
      </w:pPr>
      <w:r>
        <w:br w:type="page"/>
      </w:r>
    </w:p>
    <w:sdt>
      <w:sdtP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id w:val="147451887"/>
        <w15:color w:val="DBDBDB"/>
        <w:docPartObj>
          <w:docPartGallery w:val="Table of Contents"/>
          <w:docPartUnique/>
        </w:docPartObj>
      </w:sdtPr>
      <w:sdtEndP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微软雅黑" w:hAnsi="微软雅黑" w:eastAsia="微软雅黑" w:cs="微软雅黑"/>
              <w:sz w:val="32"/>
              <w:szCs w:val="32"/>
            </w:rPr>
          </w:pPr>
          <w:r>
            <w:rPr>
              <w:rFonts w:hint="eastAsia" w:ascii="微软雅黑" w:hAnsi="微软雅黑" w:eastAsia="微软雅黑" w:cs="微软雅黑"/>
              <w:sz w:val="32"/>
              <w:szCs w:val="32"/>
            </w:rPr>
            <w:t>目录</w:t>
          </w:r>
        </w:p>
        <w:p>
          <w:pPr>
            <w:pStyle w:val="11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TOC \o "1-3" \h \u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_Toc22765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 w:val="21"/>
              <w:szCs w:val="21"/>
              <w:lang w:val="en-US" w:eastAsia="zh-CN" w:bidi="ar"/>
            </w:rPr>
            <w:t>一、产品特性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_Toc22765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4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_Toc1857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1.1接收机技术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_Toc1857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4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_Toc29374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1.2使用注意事项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_Toc29374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5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1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_Toc30921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二、产品参数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_Toc30921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6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_Toc18772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2.1系统指标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_Toc18772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6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_Toc15135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2.2接收机指标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_Toc15135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7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_Toc22825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2.3发射器指标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_Toc22825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7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1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_Toc2996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三、接收机各部分名称及功能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_Toc2996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7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_Toc22857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0"/>
              <w:sz w:val="21"/>
              <w:szCs w:val="21"/>
              <w:lang w:val="en-US" w:eastAsia="zh-CN" w:bidi="ar-SA"/>
            </w:rPr>
            <w:t>3.2 发射器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_Toc22857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8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_Toc24412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 w:val="21"/>
              <w:szCs w:val="21"/>
              <w:lang w:val="en-US" w:eastAsia="zh-CN"/>
            </w:rPr>
            <w:t>3.3 LCD显示屏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_Toc24412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9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_Toc25951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3.4 操作说明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_Toc25951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10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11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  <w:sz w:val="21"/>
              <w:szCs w:val="21"/>
            </w:r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HYPERLINK \l _Toc7315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 w:val="21"/>
              <w:szCs w:val="21"/>
              <w:lang w:val="en-US" w:eastAsia="zh-CN" w:bidi="ar-SA"/>
            </w:rPr>
            <w:t>四、简单故障处理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ab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instrText xml:space="preserve"> PAGEREF _Toc7315 \h </w:instrTex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t>11</w:t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</w:p>
        <w:p>
          <w:pPr>
            <w:pStyle w:val="2"/>
            <w:rPr>
              <w:rFonts w:hint="eastAsia" w:ascii="微软雅黑" w:hAnsi="微软雅黑" w:eastAsia="微软雅黑" w:cs="微软雅黑"/>
              <w:sz w:val="21"/>
              <w:szCs w:val="21"/>
            </w:rPr>
            <w:sectPr>
              <w:pgSz w:w="11906" w:h="16838"/>
              <w:pgMar w:top="1440" w:right="991" w:bottom="1440" w:left="993" w:header="454" w:footer="907" w:gutter="0"/>
              <w:lnNumType w:countBy="0" w:restart="continuous"/>
              <w:cols w:space="425" w:num="1"/>
              <w:docGrid w:type="lines" w:linePitch="312" w:charSpace="0"/>
            </w:sectPr>
          </w:pPr>
          <w:r>
            <w:rPr>
              <w:rFonts w:hint="eastAsia" w:ascii="微软雅黑" w:hAnsi="微软雅黑" w:eastAsia="微软雅黑" w:cs="微软雅黑"/>
              <w:sz w:val="21"/>
              <w:szCs w:val="21"/>
            </w:rPr>
            <w:fldChar w:fldCharType="end"/>
          </w:r>
          <w:bookmarkStart w:id="13" w:name="_GoBack"/>
          <w:bookmarkEnd w:id="13"/>
        </w:p>
      </w:sdtContent>
    </w:sdt>
    <w:p>
      <w:pPr>
        <w:pStyle w:val="2"/>
      </w:pPr>
    </w:p>
    <w:p>
      <w:pPr>
        <w:widowControl/>
        <w:jc w:val="left"/>
        <w:outlineLvl w:val="0"/>
        <w:rPr>
          <w:rFonts w:hint="default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</w:pPr>
      <w:bookmarkStart w:id="1" w:name="_Toc22765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>一、产品特性</w:t>
      </w:r>
      <w:bookmarkEnd w:id="1"/>
    </w:p>
    <w:p>
      <w:pPr>
        <w:pStyle w:val="2"/>
        <w:outlineLvl w:val="1"/>
        <w:rPr>
          <w:rFonts w:hint="default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bookmarkStart w:id="2" w:name="_Toc1857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1.1接收机技术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1.采用UHF双通道多频道设计，运用高精度锁相环频率合成PLL技术，传输更稳定；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2.具备540-590MHz，640-690MHz，740-790MHz，807-857MHz四个通道模块频率范围选择；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3.采用27-50MHz的频率带宽，以250KHz频道间隔，提供800个频道选择，轻松避开各类干扰；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4.主机具备2×1.8"高亮度LCD显示屏，可动态显示系统信号强度、音量、通道、频点数值、扫频等信息；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5.话筒具备1.8"高亮度、低功耗LCD显示屏，可动态显示单元电量、音量、通道等信息；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6.具备2个通道自动扫频功能，可自动过滤环境中易干扰的频率，选择最优环境下不受干扰的频率；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7.具备频道锁定功能，在锁定状态下可避免非正常操作改变当前各种已设定的参数，防止误操作；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8.每个通道具备独立接收灵敏度调节，调节范围为0-40，可根据实际需求调节每个话筒的灵敏度；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9.具备两路独立卡侬输出及一路6.35mm混合输出，可调节混合输出幅度，支持会议全程音频独立录音保存；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10.具备两路独立音量调节旋钮及四路独立红外对频窗口，方便音量调节及红外对频；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11.采用两组独立天线进行音频与数据传输，保证音质传输过程中更加稳定可靠；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12.具备两组四位功能控制键，可独立调节每个显示模块参数，具有显示屏独立开关按钮；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13.理想环境有效距离可达80米，具备自由发言工作模式，适用于各类高要求会议场合；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14.支持同环境多套同时使用，同频段可同时使用32个通道互相不会产生干扰；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15.无线鹅颈话筒、头戴话筒、领夹话筒、手持话筒可混合搭配使用，通用性强；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16.具备独立音量大小调节旋钮，可根据实际需求调节每个话筒的音量大小；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17.具备高低两种发射功率选择，可根据使用距离、数量多少来选择发射功率；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18.采用高灵敏度四芯平衡头戴话筒，确保拾音距离及声音质量；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19.具备双重供电方式，可采用2节AA电池或镍氢充电电池，或充电器直接供电使用；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20.采用低功耗设计，镍氢充电电池可连续使用10小时以上；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21.具备大功率ACT红外对频模组，可远距离红外对频；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22.采用外置DC12V电源适配器供电方式；</w:t>
      </w:r>
    </w:p>
    <w:p>
      <w:pPr>
        <w:pStyle w:val="2"/>
        <w:rPr>
          <w:rFonts w:hint="eastAsia" w:ascii="Arial" w:hAnsi="Arial" w:eastAsia="微软雅黑" w:cs="Arial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"/>
        <w:outlineLvl w:val="1"/>
        <w:rPr>
          <w:rFonts w:hint="eastAsia"/>
          <w:b/>
          <w:bCs/>
          <w:sz w:val="30"/>
          <w:szCs w:val="30"/>
        </w:rPr>
      </w:pPr>
      <w:bookmarkStart w:id="3" w:name="_Toc29374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1.2使用注意事项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1、如何正确使用手持无线麦克风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①手应握于麦克风中部，若太靠近网头，将会影响麦克风的拾音效果，太靠近底部天线位置，则会降低发射效率，减小使用距离。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②调节麦克风和嘴之间的距离，可以增减高低音。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2、如何正确使用接收机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①接收机分为分集接收机和非分集接收两大类，非分集比较经济，真分集则可以保证较远的距离不断讯，获得更远更好的传输效果，应根据需要合理选用。接收机采用全国天线时，天线离墙体(特别是金属体)应有0.5M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②接收范围和很多因素相关，变化很大，在传输方向无大型金属购件阻挡，可以获得更好的传输效果。如果接收条件不够理想，可以采用延长线，外接高增益天线，甚至天线放大器，可以达到非常明显的增距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3.在同一地点如何正确使用多套无线麦克风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①首先应选用无互调的频率配置，在25MHz带宽内，通常可以同时使用8只发射器，50MHz宽可使用16只发射器，若需要使用更多套无线麦克风，需要配置其它频段机型。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② 多套发射机共同使用时，各发射机至少相隔20CM，在满足传输距离的条件下，应使用小功率，以免产生互调干扰。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③若发射器设置于小功率，如KTV包房、学校教室等场合不受使用数量的限制。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④发射机通道之间所设频率尽量不要调节在等间距信道，如CHANNAL A设置在20频道时，其它三个通道应避免设置为40.80.100等，同通道所配置的四个发射机也应避免设置为等间距频道。</w:t>
      </w:r>
    </w:p>
    <w:p>
      <w:pPr>
        <w:pStyle w:val="2"/>
        <w:spacing w:line="240" w:lineRule="auto"/>
        <w:rPr>
          <w:rFonts w:hint="eastAsia" w:eastAsia="宋体"/>
          <w:lang w:val="en-US" w:eastAsia="zh-CN"/>
        </w:rPr>
      </w:pPr>
    </w:p>
    <w:p>
      <w:pPr>
        <w:spacing w:line="260" w:lineRule="atLeast"/>
        <w:jc w:val="left"/>
        <w:outlineLvl w:val="0"/>
        <w:rPr>
          <w:rFonts w:hint="default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</w:pPr>
      <w:bookmarkStart w:id="4" w:name="_Toc30921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>二、产品参数</w:t>
      </w:r>
      <w:bookmarkEnd w:id="4"/>
    </w:p>
    <w:p>
      <w:pPr>
        <w:spacing w:line="260" w:lineRule="atLeast"/>
        <w:jc w:val="left"/>
        <w:outlineLvl w:val="1"/>
        <w:rPr>
          <w:rFonts w:hint="default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bookmarkStart w:id="5" w:name="_Toc18772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2.1系统指标</w:t>
      </w:r>
      <w:bookmarkEnd w:id="5"/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4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253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频率范围</w:t>
            </w:r>
          </w:p>
        </w:tc>
        <w:tc>
          <w:tcPr>
            <w:tcW w:w="4646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640-690MHz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253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调制方式</w:t>
            </w:r>
          </w:p>
        </w:tc>
        <w:tc>
          <w:tcPr>
            <w:tcW w:w="4646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宽带FM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253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可调范围</w:t>
            </w:r>
          </w:p>
        </w:tc>
        <w:tc>
          <w:tcPr>
            <w:tcW w:w="4646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253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信道数目</w:t>
            </w:r>
          </w:p>
        </w:tc>
        <w:tc>
          <w:tcPr>
            <w:tcW w:w="4646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253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信道问隔</w:t>
            </w:r>
          </w:p>
        </w:tc>
        <w:tc>
          <w:tcPr>
            <w:tcW w:w="4646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250KHz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253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频率稳定度</w:t>
            </w:r>
          </w:p>
        </w:tc>
        <w:tc>
          <w:tcPr>
            <w:tcW w:w="4646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士0.005%以内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253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动态范围</w:t>
            </w:r>
          </w:p>
        </w:tc>
        <w:tc>
          <w:tcPr>
            <w:tcW w:w="4646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253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最大频偏</w:t>
            </w:r>
          </w:p>
        </w:tc>
        <w:tc>
          <w:tcPr>
            <w:tcW w:w="4646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士45KHz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253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音频响应</w:t>
            </w:r>
          </w:p>
        </w:tc>
        <w:tc>
          <w:tcPr>
            <w:tcW w:w="4646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80Hz-18KHz (士3dB)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253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综合信噪比</w:t>
            </w:r>
          </w:p>
        </w:tc>
        <w:tc>
          <w:tcPr>
            <w:tcW w:w="4646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&gt; 105dB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253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综合失真</w:t>
            </w:r>
          </w:p>
        </w:tc>
        <w:tc>
          <w:tcPr>
            <w:tcW w:w="4646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≤0.5%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253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工作温度</w:t>
            </w:r>
          </w:p>
        </w:tc>
        <w:tc>
          <w:tcPr>
            <w:tcW w:w="4646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-10°C- +40°C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spacing w:line="260" w:lineRule="atLeast"/>
        <w:jc w:val="left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bookmarkStart w:id="6" w:name="_Toc15135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>2.2接收机指标</w:t>
      </w:r>
      <w:bookmarkEnd w:id="6"/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4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按收机方式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二次变频超外差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中频频驱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110MHz,第中频10.7MHz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无线接口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BNC/50Q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灵敏度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12 dBuV (80dBS/N)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灵敏度调节范围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12-32 dBuV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杂散抑制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275dB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最大输出电平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+10 dBV</w:t>
            </w:r>
          </w:p>
        </w:tc>
      </w:tr>
    </w:tbl>
    <w:p>
      <w:pPr>
        <w:spacing w:line="260" w:lineRule="atLeast"/>
        <w:jc w:val="left"/>
        <w:outlineLvl w:val="1"/>
        <w:rPr>
          <w:rFonts w:hint="default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bookmarkStart w:id="7" w:name="_Toc22825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>2.3发射器指标</w:t>
      </w:r>
      <w:bookmarkEnd w:id="7"/>
    </w:p>
    <w:tbl>
      <w:tblPr>
        <w:tblStyle w:val="14"/>
        <w:tblW w:w="0" w:type="auto"/>
        <w:tblInd w:w="1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079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天线移式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atLeast"/>
              <w:ind w:firstLine="400" w:firstLineChars="20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佩挂发射器采用1/4波长鞭状天线，手持麦克风内置螺旋天线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79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中频频率</w:t>
            </w:r>
          </w:p>
        </w:tc>
        <w:tc>
          <w:tcPr>
            <w:tcW w:w="5600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第一中频: 110MHz, 第二中频10.7MHz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79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输出功率</w:t>
            </w:r>
          </w:p>
        </w:tc>
        <w:tc>
          <w:tcPr>
            <w:tcW w:w="5600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高功率30mW:低功率3mW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79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杂散抑制</w:t>
            </w:r>
          </w:p>
        </w:tc>
        <w:tc>
          <w:tcPr>
            <w:tcW w:w="5600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-60dB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79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供电</w:t>
            </w:r>
          </w:p>
        </w:tc>
        <w:tc>
          <w:tcPr>
            <w:tcW w:w="5600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两节AA电池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79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使用时间</w:t>
            </w:r>
          </w:p>
        </w:tc>
        <w:tc>
          <w:tcPr>
            <w:tcW w:w="5600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30mW时大于10个小时,3mW时大于15小时</w:t>
            </w:r>
          </w:p>
        </w:tc>
      </w:tr>
    </w:tbl>
    <w:p>
      <w:pPr>
        <w:spacing w:line="260" w:lineRule="atLeast"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spacing w:line="260" w:lineRule="atLeast"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spacing w:line="260" w:lineRule="atLeast"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60" w:lineRule="atLeast"/>
        <w:jc w:val="left"/>
        <w:outlineLvl w:val="0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bookmarkStart w:id="8" w:name="_Toc2996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>三、接收机各部分名称及功能</w:t>
      </w:r>
      <w:bookmarkEnd w:id="8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     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 xml:space="preserve">       </w:t>
      </w:r>
    </w:p>
    <w:p>
      <w:pPr>
        <w:numPr>
          <w:ilvl w:val="0"/>
          <w:numId w:val="0"/>
        </w:numPr>
        <w:spacing w:line="260" w:lineRule="atLeast"/>
        <w:jc w:val="left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3.1 接收机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260" w:lineRule="atLeast"/>
        <w:jc w:val="left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60" w:lineRule="atLeast"/>
        <w:jc w:val="center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drawing>
          <wp:inline distT="0" distB="0" distL="114300" distR="114300">
            <wp:extent cx="5320030" cy="2685415"/>
            <wp:effectExtent l="0" t="0" r="0" b="0"/>
            <wp:docPr id="8" name="图片 8" descr="无线接收发射器说明书(2)5.300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无线接收发射器说明书(2)5.300-07"/>
                    <pic:cNvPicPr>
                      <a:picLocks noChangeAspect="1"/>
                    </pic:cNvPicPr>
                  </pic:nvPicPr>
                  <pic:blipFill>
                    <a:blip r:embed="rId6"/>
                    <a:srcRect l="5626" t="20976" b="13761"/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60" w:lineRule="atLeast"/>
        <w:ind w:left="120" w:leftChars="0"/>
        <w:jc w:val="left"/>
        <w:rPr>
          <w:rFonts w:hint="default" w:ascii="Arial" w:hAnsi="Arial" w:eastAsia="微软雅黑" w:cs="Arial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/>
        <w:jc w:val="left"/>
        <w:outlineLvl w:val="1"/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</w:pPr>
      <w:bookmarkStart w:id="9" w:name="_Toc22857"/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  <w:lang w:val="en-US" w:eastAsia="zh-CN" w:bidi="ar-SA"/>
        </w:rPr>
        <w:t>3.2 发射器</w:t>
      </w:r>
      <w:bookmarkEnd w:id="9"/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  <w:lang w:val="en-US" w:eastAsia="zh-CN" w:bidi="ar-SA"/>
        </w:rPr>
        <w:t xml:space="preserve">   </w:t>
      </w:r>
      <w:r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260" w:lineRule="atLeast"/>
        <w:ind w:left="120" w:leftChars="0"/>
        <w:jc w:val="left"/>
        <w:rPr>
          <w:rFonts w:hint="default" w:ascii="Arial" w:hAnsi="Arial" w:eastAsia="微软雅黑" w:cs="Arial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/>
        <w:jc w:val="left"/>
        <w:rPr>
          <w:rFonts w:hint="default" w:ascii="Arial" w:hAnsi="Arial" w:eastAsia="微软雅黑" w:cs="Arial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/>
        <w:jc w:val="left"/>
        <w:rPr>
          <w:rFonts w:hint="default" w:ascii="Arial" w:hAnsi="Arial" w:eastAsia="微软雅黑" w:cs="Arial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/>
        <w:jc w:val="center"/>
        <w:rPr>
          <w:rFonts w:hint="default" w:ascii="Arial" w:hAnsi="Arial" w:eastAsia="微软雅黑" w:cs="Arial"/>
          <w:b/>
          <w:bCs/>
          <w:sz w:val="24"/>
          <w:szCs w:val="24"/>
          <w:lang w:eastAsia="zh-CN"/>
        </w:rPr>
      </w:pPr>
      <w:r>
        <w:rPr>
          <w:rFonts w:hint="default" w:ascii="Arial" w:hAnsi="Arial" w:eastAsia="微软雅黑" w:cs="Arial"/>
          <w:b/>
          <w:bCs/>
          <w:sz w:val="24"/>
          <w:szCs w:val="24"/>
          <w:lang w:eastAsia="zh-CN"/>
        </w:rPr>
        <w:drawing>
          <wp:inline distT="0" distB="0" distL="114300" distR="114300">
            <wp:extent cx="4184650" cy="3107690"/>
            <wp:effectExtent l="0" t="0" r="0" b="0"/>
            <wp:docPr id="1" name="图片 1" descr="绿色屏幕一拖二头戴有机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绿色屏幕一拖二头戴有机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/>
        <w:jc w:val="left"/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 w:firstLine="300" w:firstLineChars="100"/>
        <w:jc w:val="left"/>
        <w:outlineLvl w:val="1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bookmarkStart w:id="10" w:name="_Toc24412"/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3.3 LCD显示屏</w:t>
      </w:r>
      <w:bookmarkEnd w:id="10"/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/>
        <w:jc w:val="left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/>
        <w:jc w:val="center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drawing>
          <wp:inline distT="0" distB="0" distL="114300" distR="114300">
            <wp:extent cx="4983480" cy="1861185"/>
            <wp:effectExtent l="0" t="0" r="0" b="0"/>
            <wp:docPr id="9" name="图片 9" descr="无线接收发射器说明书(2)5.30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无线接收发射器说明书(2)5.301-07"/>
                    <pic:cNvPicPr>
                      <a:picLocks noChangeAspect="1"/>
                    </pic:cNvPicPr>
                  </pic:nvPicPr>
                  <pic:blipFill>
                    <a:blip r:embed="rId8"/>
                    <a:srcRect l="8198" t="29563" r="2383" b="24686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drawing>
          <wp:inline distT="0" distB="0" distL="114300" distR="114300">
            <wp:extent cx="6383020" cy="5259070"/>
            <wp:effectExtent l="0" t="0" r="0" b="0"/>
            <wp:docPr id="10" name="图片 10" descr="无线接收发射器说明书(2)5.30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无线接收发射器说明书(2)5.30-08"/>
                    <pic:cNvPicPr>
                      <a:picLocks noChangeAspect="1"/>
                    </pic:cNvPicPr>
                  </pic:nvPicPr>
                  <pic:blipFill>
                    <a:blip r:embed="rId9"/>
                    <a:srcRect l="4753" t="22485" r="7587" b="22283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52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bookmarkStart w:id="11" w:name="_Toc25951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3.4 操作说明</w:t>
      </w:r>
      <w:bookmarkEnd w:id="11"/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打开电源后，LED 背光灯亮，液晶同时显示当前工作频道及电池电量。</w:t>
      </w:r>
    </w:p>
    <w:p>
      <w:pPr>
        <w:numPr>
          <w:ilvl w:val="0"/>
          <w:numId w:val="0"/>
        </w:num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2.若需更改工作频道，应首先改变接收机频道，然后将发射机和接收机上红外对频窗口对准，并按接收机上的"SET" 。新的信道参数就会传至发射机，调节上下按键可进行信道、频率选择。</w:t>
      </w:r>
    </w:p>
    <w:p>
      <w:pPr>
        <w:spacing w:line="260" w:lineRule="atLeast"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outlineLvl w:val="0"/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</w:pPr>
      <w:bookmarkStart w:id="12" w:name="_Toc7315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>四、简单故障处理</w:t>
      </w:r>
      <w:bookmarkEnd w:id="12"/>
    </w:p>
    <w:p>
      <w:pPr>
        <w:pStyle w:val="2"/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</w:pPr>
    </w:p>
    <w:tbl>
      <w:tblPr>
        <w:tblStyle w:val="14"/>
        <w:tblW w:w="10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6"/>
        <w:gridCol w:w="6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4086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故障现象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故障原因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收发机无指示：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发射器电池耗尽，接收机电源未接好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接收机无射频信号：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收发不同频或超出接收范围。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Merge w:val="restart"/>
            <w:vAlign w:val="top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有射频信号，但无音频信号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导音电路故障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发射机麦克风未接入或接收机输出电平过高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设置"静音“模式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086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音频信号背景噪声太大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发射调制频偏太小，接收输出电平低，也许有干扰信后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4086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音频信号失真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发射机调制频偏大，接收机输出电平过高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4086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使用距离较短，信号不稳定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发射机设置在小功率，接收机静噪太深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08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接收机天线设置不当，周围有强电磁干扰</w:t>
            </w:r>
          </w:p>
        </w:tc>
      </w:tr>
    </w:tbl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如果出现的故障不包含在上表，切勿自行拆开修理，请接洽厂家或当地经销商。</w:t>
      </w: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sectPr>
      <w:pgSz w:w="11906" w:h="16838"/>
      <w:pgMar w:top="1440" w:right="991" w:bottom="1440" w:left="993" w:header="454" w:footer="907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137160</wp:posOffset>
          </wp:positionV>
          <wp:extent cx="575945" cy="575310"/>
          <wp:effectExtent l="0" t="0" r="5080" b="5715"/>
          <wp:wrapSquare wrapText="bothSides"/>
          <wp:docPr id="15" name="图片 15" descr="C:\Users\PumpkinPotato\Desktop\微信公众号.png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C:\Users\PumpkinPotato\Desktop\微信公众号.png微信公众号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  <w:r>
      <w:rPr>
        <w:rFonts w:hint="eastAsia"/>
      </w:rPr>
      <w:drawing>
        <wp:inline distT="0" distB="0" distL="114300" distR="114300">
          <wp:extent cx="3731260" cy="695325"/>
          <wp:effectExtent l="0" t="0" r="2540" b="0"/>
          <wp:docPr id="6" name="图片 6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脚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312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</w:rPr>
      <w:t xml:space="preserve">                </w:t>
    </w:r>
  </w:p>
  <w:p>
    <w:pPr>
      <w:pStyle w:val="9"/>
      <w:ind w:right="600"/>
      <w:jc w:val="right"/>
    </w:pP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页码：第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PAGE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1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  <w:lang w:val="zh-CN"/>
      </w:rPr>
      <w:t xml:space="preserve"> /共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NUMPAGES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4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hint="eastAsia"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ab/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 xml:space="preserve">      表单号：BD-CPCTY-0001 A0</w:t>
    </w:r>
    <w:r>
      <w:rPr>
        <w:rFonts w:ascii="Times New Roman" w:hAnsi="Times New Roman" w:eastAsia="宋体" w:cs="Times New Roman"/>
        <w:sz w:val="20"/>
        <w:szCs w:val="20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drawing>
        <wp:inline distT="0" distB="0" distL="114300" distR="114300">
          <wp:extent cx="2204085" cy="683895"/>
          <wp:effectExtent l="0" t="0" r="5715" b="190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                       </w:t>
    </w:r>
    <w:r>
      <w:rPr>
        <w:rFonts w:hint="eastAsia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376805" cy="713740"/>
          <wp:effectExtent l="0" t="0" r="4445" b="635"/>
          <wp:docPr id="3" name="图片 3" descr="页眉右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右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04F47E"/>
    <w:multiLevelType w:val="singleLevel"/>
    <w:tmpl w:val="2B04F4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NDY4NDdlNzRkMWM2MjI0MmUwZDhlMTI5NTg1YWEifQ=="/>
  </w:docVars>
  <w:rsids>
    <w:rsidRoot w:val="00EE2239"/>
    <w:rsid w:val="00034552"/>
    <w:rsid w:val="00086AFE"/>
    <w:rsid w:val="00093538"/>
    <w:rsid w:val="000A64E2"/>
    <w:rsid w:val="000B3DFC"/>
    <w:rsid w:val="000F5B6D"/>
    <w:rsid w:val="00102DB8"/>
    <w:rsid w:val="001128B1"/>
    <w:rsid w:val="00131FEB"/>
    <w:rsid w:val="00132C8D"/>
    <w:rsid w:val="001343A8"/>
    <w:rsid w:val="00157397"/>
    <w:rsid w:val="0017241F"/>
    <w:rsid w:val="001E03F6"/>
    <w:rsid w:val="00210A86"/>
    <w:rsid w:val="0029030D"/>
    <w:rsid w:val="00295F7B"/>
    <w:rsid w:val="002B3994"/>
    <w:rsid w:val="002C6ADA"/>
    <w:rsid w:val="002D6FB1"/>
    <w:rsid w:val="00315BB1"/>
    <w:rsid w:val="0035080F"/>
    <w:rsid w:val="00352C00"/>
    <w:rsid w:val="003D75DC"/>
    <w:rsid w:val="003F266E"/>
    <w:rsid w:val="00400A93"/>
    <w:rsid w:val="00432739"/>
    <w:rsid w:val="00457C71"/>
    <w:rsid w:val="004773A2"/>
    <w:rsid w:val="004A22AA"/>
    <w:rsid w:val="004A6AB6"/>
    <w:rsid w:val="004B6616"/>
    <w:rsid w:val="004D7995"/>
    <w:rsid w:val="004E30D0"/>
    <w:rsid w:val="004F3B59"/>
    <w:rsid w:val="00504BAC"/>
    <w:rsid w:val="0051138D"/>
    <w:rsid w:val="00514AFB"/>
    <w:rsid w:val="0053098E"/>
    <w:rsid w:val="00552C74"/>
    <w:rsid w:val="005701E6"/>
    <w:rsid w:val="00583456"/>
    <w:rsid w:val="00590301"/>
    <w:rsid w:val="00592132"/>
    <w:rsid w:val="005A7A0C"/>
    <w:rsid w:val="005B0A3E"/>
    <w:rsid w:val="005C604B"/>
    <w:rsid w:val="006026D1"/>
    <w:rsid w:val="006355BE"/>
    <w:rsid w:val="00655A27"/>
    <w:rsid w:val="006854D3"/>
    <w:rsid w:val="006B2397"/>
    <w:rsid w:val="006C5CB9"/>
    <w:rsid w:val="006E75AA"/>
    <w:rsid w:val="007067D8"/>
    <w:rsid w:val="00773493"/>
    <w:rsid w:val="0077496E"/>
    <w:rsid w:val="00790D07"/>
    <w:rsid w:val="007B412B"/>
    <w:rsid w:val="007B5223"/>
    <w:rsid w:val="0080459E"/>
    <w:rsid w:val="008C43E8"/>
    <w:rsid w:val="00906440"/>
    <w:rsid w:val="00916CC4"/>
    <w:rsid w:val="00917A5E"/>
    <w:rsid w:val="0093237D"/>
    <w:rsid w:val="00950714"/>
    <w:rsid w:val="00983086"/>
    <w:rsid w:val="009C02FC"/>
    <w:rsid w:val="009D2E7B"/>
    <w:rsid w:val="009D4C9F"/>
    <w:rsid w:val="00A00E7B"/>
    <w:rsid w:val="00A543DF"/>
    <w:rsid w:val="00A55A95"/>
    <w:rsid w:val="00A66659"/>
    <w:rsid w:val="00A837FF"/>
    <w:rsid w:val="00AB2232"/>
    <w:rsid w:val="00AB7A25"/>
    <w:rsid w:val="00AF25A0"/>
    <w:rsid w:val="00AF7A26"/>
    <w:rsid w:val="00B465D8"/>
    <w:rsid w:val="00B55148"/>
    <w:rsid w:val="00B557FF"/>
    <w:rsid w:val="00B72D1A"/>
    <w:rsid w:val="00BB08E1"/>
    <w:rsid w:val="00BC2526"/>
    <w:rsid w:val="00C10124"/>
    <w:rsid w:val="00C13E44"/>
    <w:rsid w:val="00C171C3"/>
    <w:rsid w:val="00C41ADF"/>
    <w:rsid w:val="00D26A4B"/>
    <w:rsid w:val="00D2756F"/>
    <w:rsid w:val="00D32400"/>
    <w:rsid w:val="00D706BE"/>
    <w:rsid w:val="00D84E81"/>
    <w:rsid w:val="00DC52F9"/>
    <w:rsid w:val="00E21325"/>
    <w:rsid w:val="00E32342"/>
    <w:rsid w:val="00E523E0"/>
    <w:rsid w:val="00E67346"/>
    <w:rsid w:val="00EC3907"/>
    <w:rsid w:val="00EE2239"/>
    <w:rsid w:val="00F35BB0"/>
    <w:rsid w:val="00F41DB5"/>
    <w:rsid w:val="00F67EB6"/>
    <w:rsid w:val="00FC211B"/>
    <w:rsid w:val="00FD01D8"/>
    <w:rsid w:val="057E74F5"/>
    <w:rsid w:val="05944A1B"/>
    <w:rsid w:val="092D5391"/>
    <w:rsid w:val="097D4F5F"/>
    <w:rsid w:val="098D7EBB"/>
    <w:rsid w:val="0BE81B6C"/>
    <w:rsid w:val="101C440E"/>
    <w:rsid w:val="114E06C3"/>
    <w:rsid w:val="117619C8"/>
    <w:rsid w:val="125F3DCD"/>
    <w:rsid w:val="15E2762C"/>
    <w:rsid w:val="16852CE2"/>
    <w:rsid w:val="16CA259A"/>
    <w:rsid w:val="17283A6B"/>
    <w:rsid w:val="17D80473"/>
    <w:rsid w:val="183028D1"/>
    <w:rsid w:val="18D94D16"/>
    <w:rsid w:val="18E764B7"/>
    <w:rsid w:val="1C024584"/>
    <w:rsid w:val="1D61352C"/>
    <w:rsid w:val="1E7B061E"/>
    <w:rsid w:val="1F10520A"/>
    <w:rsid w:val="1F14208B"/>
    <w:rsid w:val="207F7B8E"/>
    <w:rsid w:val="21F11323"/>
    <w:rsid w:val="22EA5D72"/>
    <w:rsid w:val="2398039C"/>
    <w:rsid w:val="25BE7EB3"/>
    <w:rsid w:val="28403743"/>
    <w:rsid w:val="2A6428AE"/>
    <w:rsid w:val="2A64640A"/>
    <w:rsid w:val="2B847C6D"/>
    <w:rsid w:val="2D1C7470"/>
    <w:rsid w:val="2D870D8D"/>
    <w:rsid w:val="2E335B48"/>
    <w:rsid w:val="302C5C1C"/>
    <w:rsid w:val="311A1F18"/>
    <w:rsid w:val="315E1E05"/>
    <w:rsid w:val="32130E41"/>
    <w:rsid w:val="331704BD"/>
    <w:rsid w:val="340547BA"/>
    <w:rsid w:val="37960F73"/>
    <w:rsid w:val="3825367C"/>
    <w:rsid w:val="38CC3AF8"/>
    <w:rsid w:val="39BD040F"/>
    <w:rsid w:val="3A9C797B"/>
    <w:rsid w:val="3BC66F24"/>
    <w:rsid w:val="3DFC6C2D"/>
    <w:rsid w:val="3DFE0BF8"/>
    <w:rsid w:val="3E8A248B"/>
    <w:rsid w:val="3F163D1F"/>
    <w:rsid w:val="42E7776F"/>
    <w:rsid w:val="445F194D"/>
    <w:rsid w:val="49C8030C"/>
    <w:rsid w:val="4A056E6A"/>
    <w:rsid w:val="4D063625"/>
    <w:rsid w:val="4E870795"/>
    <w:rsid w:val="4E9764FE"/>
    <w:rsid w:val="4EA8496E"/>
    <w:rsid w:val="503E4E84"/>
    <w:rsid w:val="50BB2978"/>
    <w:rsid w:val="525C3CE7"/>
    <w:rsid w:val="538C05FC"/>
    <w:rsid w:val="552F7491"/>
    <w:rsid w:val="56755377"/>
    <w:rsid w:val="57160908"/>
    <w:rsid w:val="59417793"/>
    <w:rsid w:val="5A737E20"/>
    <w:rsid w:val="5AFC6067"/>
    <w:rsid w:val="5B5A4166"/>
    <w:rsid w:val="5C0C052C"/>
    <w:rsid w:val="5CD5091E"/>
    <w:rsid w:val="5D9E51B4"/>
    <w:rsid w:val="60600E46"/>
    <w:rsid w:val="61AA1D5B"/>
    <w:rsid w:val="62053A53"/>
    <w:rsid w:val="64BE25DF"/>
    <w:rsid w:val="65235B46"/>
    <w:rsid w:val="668C4743"/>
    <w:rsid w:val="677671A1"/>
    <w:rsid w:val="690A736D"/>
    <w:rsid w:val="69586B5E"/>
    <w:rsid w:val="6C044D7B"/>
    <w:rsid w:val="6DC01176"/>
    <w:rsid w:val="6F80296B"/>
    <w:rsid w:val="70DE57F8"/>
    <w:rsid w:val="728704B4"/>
    <w:rsid w:val="746C5BB4"/>
    <w:rsid w:val="77BE6DDB"/>
    <w:rsid w:val="77BF424C"/>
    <w:rsid w:val="7BFC5A6F"/>
    <w:rsid w:val="7DD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link w:val="24"/>
    <w:qFormat/>
    <w:uiPriority w:val="9"/>
    <w:pPr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9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Body Text"/>
    <w:basedOn w:val="1"/>
    <w:qFormat/>
    <w:uiPriority w:val="1"/>
    <w:pPr>
      <w:spacing w:before="115"/>
      <w:ind w:left="600"/>
    </w:pPr>
    <w:rPr>
      <w:rFonts w:ascii="宋体" w:hAnsi="宋体"/>
      <w:sz w:val="20"/>
      <w:szCs w:val="20"/>
    </w:r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semiHidden/>
    <w:unhideWhenUsed/>
    <w:uiPriority w:val="39"/>
    <w:pPr>
      <w:ind w:left="420" w:leftChars="200"/>
    </w:p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18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19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20">
    <w:name w:val="标题 3 字符"/>
    <w:basedOn w:val="15"/>
    <w:link w:val="5"/>
    <w:qFormat/>
    <w:uiPriority w:val="9"/>
    <w:rPr>
      <w:b/>
      <w:sz w:val="32"/>
    </w:rPr>
  </w:style>
  <w:style w:type="character" w:customStyle="1" w:styleId="21">
    <w:name w:val="标题 2 字符"/>
    <w:basedOn w:val="15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列表段落1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字符"/>
    <w:basedOn w:val="15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6">
    <w:name w:val="图片"/>
    <w:basedOn w:val="1"/>
    <w:qFormat/>
    <w:uiPriority w:val="0"/>
    <w:pPr>
      <w:spacing w:before="50" w:beforeLines="50" w:line="480" w:lineRule="auto"/>
      <w:jc w:val="center"/>
    </w:pPr>
    <w:rPr>
      <w:rFonts w:ascii="Times New Roman" w:hAnsi="Times New Roman" w:cs="Times New Roman"/>
      <w:color w:val="000000"/>
      <w:kern w:val="0"/>
      <w:sz w:val="19"/>
      <w:szCs w:val="19"/>
      <w:lang w:val="zh-CN" w:bidi="zh-CN"/>
    </w:rPr>
  </w:style>
  <w:style w:type="paragraph" w:customStyle="1" w:styleId="27">
    <w:name w:val="样式1"/>
    <w:basedOn w:val="3"/>
    <w:next w:val="1"/>
    <w:qFormat/>
    <w:uiPriority w:val="0"/>
    <w:pPr>
      <w:spacing w:before="100" w:after="90"/>
    </w:pPr>
  </w:style>
  <w:style w:type="paragraph" w:customStyle="1" w:styleId="28">
    <w:name w:val="样式2"/>
    <w:basedOn w:val="3"/>
    <w:next w:val="1"/>
    <w:qFormat/>
    <w:uiPriority w:val="0"/>
    <w:pPr>
      <w:spacing w:before="120" w:after="120" w:line="360" w:lineRule="auto"/>
    </w:pPr>
  </w:style>
  <w:style w:type="paragraph" w:customStyle="1" w:styleId="29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0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1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0060-F4E9-4DD0-AFA0-A2E37B79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2597</Words>
  <Characters>2931</Characters>
  <Lines>6</Lines>
  <Paragraphs>1</Paragraphs>
  <TotalTime>0</TotalTime>
  <ScaleCrop>false</ScaleCrop>
  <LinksUpToDate>false</LinksUpToDate>
  <CharactersWithSpaces>2970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Sky123.Org</dc:creator>
  <cp:lastModifiedBy>Thorns</cp:lastModifiedBy>
  <cp:lastPrinted>2022-11-15T03:28:00Z</cp:lastPrinted>
  <dcterms:modified xsi:type="dcterms:W3CDTF">2022-12-15T05:38:56Z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801BB78625F444619DF4F1018E34BCBD</vt:lpwstr>
  </property>
</Properties>
</file>