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p>
      <w:pPr>
        <w:spacing w:line="260" w:lineRule="atLeast"/>
        <w:ind w:firstLine="2161" w:firstLineChars="300"/>
        <w:rPr>
          <w:rFonts w:ascii="微软雅黑" w:hAnsi="微软雅黑" w:eastAsia="微软雅黑" w:cs="微软雅黑"/>
          <w:b/>
          <w:bCs/>
          <w:sz w:val="72"/>
          <w:szCs w:val="72"/>
        </w:rPr>
      </w:pPr>
      <w:bookmarkStart w:id="10" w:name="_GoBack"/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L</w:t>
      </w:r>
      <w:r>
        <w:rPr>
          <w:rFonts w:ascii="微软雅黑" w:hAnsi="微软雅黑" w:eastAsia="微软雅黑" w:cs="微软雅黑"/>
          <w:b/>
          <w:bCs/>
          <w:sz w:val="72"/>
          <w:szCs w:val="72"/>
        </w:rPr>
        <w:t>ED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室内全彩屏</w:t>
      </w:r>
    </w:p>
    <w:bookmarkEnd w:id="10"/>
    <w:p>
      <w:pPr>
        <w:jc w:val="center"/>
        <w:rPr>
          <w:rFonts w:hint="eastAsia" w:ascii="微软雅黑" w:hAnsi="微软雅黑" w:eastAsia="微软雅黑" w:cs="微软雅黑"/>
          <w:b/>
          <w:bCs/>
          <w:sz w:val="88"/>
          <w:szCs w:val="88"/>
        </w:rPr>
      </w:pPr>
      <w:r>
        <w:rPr>
          <w:rFonts w:ascii="微软雅黑" w:hAnsi="微软雅黑" w:eastAsia="微软雅黑"/>
          <w:color w:val="1E1916"/>
          <w:w w:val="110"/>
          <w:sz w:val="36"/>
          <w:szCs w:val="36"/>
        </w:rPr>
        <w:t xml:space="preserve">  P-1.538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手</w:t>
      </w:r>
    </w:p>
    <w:p>
      <w:pPr>
        <w:pStyle w:val="2"/>
        <w:jc w:val="center"/>
        <w:rPr>
          <w:rFonts w:hint="eastAsia" w:ascii="微软雅黑" w:hAnsi="微软雅黑" w:eastAsia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/>
          <w:b/>
          <w:bCs/>
          <w:sz w:val="88"/>
          <w:szCs w:val="88"/>
        </w:rPr>
        <w:t>册</w:t>
      </w:r>
    </w:p>
    <w:bookmarkEnd w:id="0"/>
    <w:p>
      <w:pPr>
        <w:spacing w:line="360" w:lineRule="auto"/>
        <w:jc w:val="both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  <w:r>
        <w:rPr>
          <w:rFonts w:ascii="微软雅黑" w:hAnsi="微软雅黑" w:eastAsia="微软雅黑" w:cs="微软雅黑"/>
          <w:sz w:val="36"/>
          <w:szCs w:val="36"/>
          <w:vertAlign w:val="subscript"/>
        </w:rPr>
        <w:t xml:space="preserve">   </w:t>
      </w:r>
      <w:r>
        <w:rPr>
          <w:rFonts w:hint="eastAsia" w:ascii="微软雅黑" w:hAnsi="微软雅黑" w:eastAsia="微软雅黑" w:cs="微软雅黑"/>
          <w:sz w:val="36"/>
          <w:szCs w:val="36"/>
          <w:vertAlign w:val="subscript"/>
        </w:rPr>
        <w:t>V</w:t>
      </w:r>
      <w:r>
        <w:rPr>
          <w:rFonts w:ascii="微软雅黑" w:hAnsi="微软雅黑" w:eastAsia="微软雅黑" w:cs="微软雅黑"/>
          <w:sz w:val="36"/>
          <w:szCs w:val="36"/>
          <w:vertAlign w:val="subscript"/>
        </w:rPr>
        <w:t>1.0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8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spacing w:line="260" w:lineRule="atLeast"/>
        <w:ind w:firstLine="960" w:firstLineChars="200"/>
        <w:jc w:val="center"/>
        <w:rPr>
          <w:rFonts w:ascii="微软雅黑" w:hAnsi="微软雅黑" w:eastAsia="微软雅黑" w:cs="微软雅黑"/>
          <w:sz w:val="48"/>
          <w:vertAlign w:val="subscript"/>
        </w:rPr>
        <w:sectPr>
          <w:headerReference r:id="rId5" w:type="default"/>
          <w:footerReference r:id="rId6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</w:p>
    <w:sdt>
      <w:sdtPr>
        <w:rPr>
          <w:lang w:val="zh-CN"/>
        </w:rPr>
        <w:id w:val="100162912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5"/>
            <w:jc w:val="center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_Toc8896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一、 适用范围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_Toc8896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_Toc21024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二、注意事项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_Toc21024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_Toc20325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三、产品说明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_Toc20325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_Toc18455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四、产品技术要求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_Toc18455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_Toc5231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五、 单元板信号接口定义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_Toc5231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_Toc13392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highlight w:val="none"/>
            </w:rPr>
            <w:t>六、单</w:t>
          </w:r>
          <w:r>
            <w:rPr>
              <w:rFonts w:hint="eastAsia" w:ascii="微软雅黑" w:hAnsi="微软雅黑" w:eastAsia="微软雅黑" w:cs="微软雅黑"/>
              <w:szCs w:val="36"/>
            </w:rPr>
            <w:t>元板安装孔位图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_Toc13392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_Toc3420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七、安装指导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_Toc3420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>
      <w:pPr>
        <w:spacing w:line="260" w:lineRule="atLeast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</w:pPr>
    </w:p>
    <w:p>
      <w:pPr>
        <w:widowControl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br w:type="page"/>
      </w:r>
    </w:p>
    <w:p>
      <w:pPr>
        <w:pStyle w:val="27"/>
        <w:numPr>
          <w:ilvl w:val="0"/>
          <w:numId w:val="1"/>
        </w:numPr>
        <w:spacing w:before="312" w:beforeLines="100" w:after="312" w:afterLines="100" w:line="440" w:lineRule="exact"/>
        <w:ind w:firstLineChars="0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" w:name="_Toc8896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适用范围</w:t>
      </w:r>
      <w:bookmarkEnd w:id="1"/>
    </w:p>
    <w:p>
      <w:pPr>
        <w:spacing w:before="317" w:line="250" w:lineRule="exact"/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z w:val="24"/>
          <w:szCs w:val="24"/>
        </w:rPr>
        <w:t>本技术手册仅适用于室内全彩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P1.538</w:t>
      </w:r>
      <w:r>
        <w:rPr>
          <w:rFonts w:ascii="微软雅黑" w:hAnsi="微软雅黑" w:eastAsia="微软雅黑" w:cs="宋体"/>
          <w:color w:val="000000"/>
          <w:sz w:val="24"/>
          <w:szCs w:val="24"/>
        </w:rPr>
        <w:t>单元板，以下为常规型产品参数，如有特殊需求可定制</w:t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21024"/>
      <w:r>
        <w:rPr>
          <w:rFonts w:hint="eastAsia" w:ascii="微软雅黑" w:hAnsi="微软雅黑" w:eastAsia="微软雅黑" w:cs="微软雅黑"/>
          <w:sz w:val="36"/>
          <w:szCs w:val="36"/>
        </w:rPr>
        <w:t>二、注意事项</w:t>
      </w:r>
      <w:bookmarkEnd w:id="2"/>
    </w:p>
    <w:tbl>
      <w:tblPr>
        <w:tblStyle w:val="17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6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35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项目</w:t>
            </w:r>
          </w:p>
        </w:tc>
        <w:tc>
          <w:tcPr>
            <w:tcW w:w="6158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描述</w:t>
            </w:r>
          </w:p>
        </w:tc>
      </w:tr>
    </w:tbl>
    <w:tbl>
      <w:tblPr>
        <w:tblStyle w:val="17"/>
        <w:tblpPr w:leftFromText="180" w:rightFromText="180" w:vertAnchor="text" w:horzAnchor="margin" w:tblpY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408"/>
        <w:gridCol w:w="6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0" w:type="dxa"/>
            <w:vMerge w:val="restart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环境 注意 事项</w:t>
            </w: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温度要求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存储温度范围：-10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，超过 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需做降温处理。 工作温度范围：-20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，其它温度范围，需加装温控设备。 单元板工作时灯面温度：≤60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，温度超标需加装温控设备。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湿度要求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存储湿度范围：10%RH-60%RH，湿度超过 60%RH 需除湿处理。 工作湿度范围：10%RH -65%RH，湿度超标需对使用环境除湿处理 后才能正常使用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存放超期处理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产品存放时间超过一个月，使用前需经过 6 小时的老化后才能正 常使用。老化方式为：全亮亮度设置 10% 1H, 全亮亮度设置 30% 1H, 全亮亮度设置 60% 2H, 全亮亮度设置 80% 1H, 全亮亮度设 置 100% 1H（亮度逐渐递增老化）。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防尘要求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室内产品无防护等级或 IP30，显示屏不应暴露在尘埃较多的环境 中，比如演播室装修、改造等，需对显示屏进行特殊防护。装修 时不能安装 LED 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防腐蚀性气体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腐蚀性气体在空气中含有盐或酸气的环境中，会造成电子元件的 腐蚀、结晶漏电等现象。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防电磁辐射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显示屏不宜安置在电磁辐射、射频辐射超过场强 5V/m 干扰源的环 境中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避开强光照射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强光会影响显示屏的显示效果和影响产品寿命，应避开安装在阳 光直射时间较长的方向。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远离水源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室内产品防护等级低，水导电可使电路短路，导致电路器件损 毁，故需远离水源。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静电危害，防止雷 击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屏体金属构件、开关电源外壳、箱体需接地良好，注意接地电阻 ≤10Ω。防止潮湿环境中，静电对电子器件的损坏，同时避免漏 电对人体的伤害。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人身伤害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显示屏安装的角度和高度需适宜，尖锐的边角需包装，防止强硬 外壳对人体的伤害。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特殊环境下使用 LED 显示屏（1、海边、游泳池、洗浴场、地下 室、隧道；2、化学品环境内、硫化环境、卤素环境；3、沙尘、 灰尘大的环境; 4、强紫外线环境; 5、强电磁场的环境；6、小于 -20 度，大于+40 度的环境），需根据产品应用环境妥善使用。</w:t>
            </w:r>
          </w:p>
        </w:tc>
      </w:tr>
    </w:tbl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tbl>
      <w:tblPr>
        <w:tblStyle w:val="17"/>
        <w:tblW w:w="0" w:type="auto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623"/>
        <w:gridCol w:w="5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95" w:type="dxa"/>
            <w:vMerge w:val="restart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 操作 注意 事项</w:t>
            </w: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安装人员必需配带静电手环和静电手套，装配过程中各种工具必 须严格接地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产品批号管控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不同批号的产品不能装在一个屏上，否则显示屏上将会产生色块 （马赛克）现象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产品接线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单元板不能直接接入 220V，单元板供电正负极不能接反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拆装与运输过程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不得摔、推、挤、压单元板，以免损坏显示屏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拆装维护液体防护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拆装作业时不能有汗液或其它液体滴到显示屏上，如有滴到需要 酒精清洗产品滴液位置，防止液体腐蚀致产品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安装扭力控制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电源接线时需确保端子接头螺丝拧紧，防止接头位置松动，导致 接触电阻大引起烧线或产品损坏问题，M4 螺丝扭矩 6.0－8.0 Kgf.cm ，M3 螺丝扭矩 4.0－6.0 Kgf.cm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禁止带电作业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禁止在通电情况下拼装单元板，应将主电输入断开情况下进行单 元板上墙拼装，不允许带插入电源线和信号线拼装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禁止带电触摸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屏体点亮使用中禁止人员去触碰和触摸 LED 显示屏，以免人体摩 擦产生的静电击穿 LED 灯及芯片等元器件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环境检查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显示屏安装现场需配置温湿度计，及时监控屏体周围环境情况， 大雨过后，应及时检查显示屏内部是否有受潮、水珠、水气等问 题</w:t>
            </w:r>
          </w:p>
        </w:tc>
      </w:tr>
    </w:tbl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3" w:name="_Toc20325"/>
      <w:r>
        <w:rPr>
          <w:rFonts w:hint="eastAsia" w:ascii="微软雅黑" w:hAnsi="微软雅黑" w:eastAsia="微软雅黑" w:cs="微软雅黑"/>
          <w:sz w:val="36"/>
          <w:szCs w:val="36"/>
        </w:rPr>
        <w:t>三、产品说明</w:t>
      </w:r>
      <w:bookmarkEnd w:id="3"/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产品特点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优质灯管，灯管亮度利用率高，同时保障灯管使用寿命和优质的塑胶件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高对比度可达到良好的显示效果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重量轻、易于安装、拆卸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可进行单点、单灯维护，成本低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采用恒流方式驱动 LED，发光均匀，功耗低</w:t>
      </w:r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单元板图片</w:t>
      </w:r>
    </w:p>
    <w:p>
      <w:r>
        <w:drawing>
          <wp:inline distT="0" distB="0" distL="0" distR="0">
            <wp:extent cx="427164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81" cy="17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4" w:name="_Toc18455"/>
      <w:r>
        <w:rPr>
          <w:rFonts w:hint="eastAsia" w:ascii="微软雅黑" w:hAnsi="微软雅黑" w:eastAsia="微软雅黑" w:cs="微软雅黑"/>
          <w:sz w:val="36"/>
          <w:szCs w:val="36"/>
        </w:rPr>
        <w:t>四、产品技术要求</w:t>
      </w:r>
      <w:bookmarkEnd w:id="4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78"/>
        <w:gridCol w:w="2478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像数点间距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1.538mm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像素密度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422500Pixels/m2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刷新频率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3840HZ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灯管封装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SMD1212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尺寸(长*宽*厚)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320*160*14.5mm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重量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0.43kg±0.01kg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结构特点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软连接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单元板分辨率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208*104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维护方式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前维护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级联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不可级联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单元板功率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≤20.25W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驱动方式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恒流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≥450cd/㎡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亮度均匀性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＞0.95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屏幕水平视角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160±10 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屏幕垂直视角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140±10 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最佳视距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≥4.6m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使用环境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使用寿命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≥10 万小时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平均无故障时间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≥5000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衰减率(工作 3 年)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≤10％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连续失控点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离散失控点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＜30PPM，出厂时为 0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盲点率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＜50PPM，出厂时为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工作温度范围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-20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工作湿度范围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10％-65％RH(无结露)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模组平整度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＜0.2mm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防护等级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IP30</w:t>
            </w:r>
          </w:p>
        </w:tc>
      </w:tr>
    </w:tbl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36"/>
          <w:szCs w:val="36"/>
        </w:rPr>
      </w:pPr>
      <w:bookmarkStart w:id="5" w:name="_Toc5231"/>
      <w:r>
        <w:rPr>
          <w:rFonts w:hint="eastAsia" w:ascii="微软雅黑" w:hAnsi="微软雅黑" w:eastAsia="微软雅黑"/>
          <w:sz w:val="36"/>
          <w:szCs w:val="36"/>
        </w:rPr>
        <w:t>单元板信号接口定义</w:t>
      </w:r>
      <w:bookmarkEnd w:id="5"/>
    </w:p>
    <w:p>
      <w:r>
        <w:drawing>
          <wp:inline distT="0" distB="0" distL="0" distR="0">
            <wp:extent cx="5915025" cy="30619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86" cy="30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6" w:name="_Toc13392"/>
      <w:r>
        <w:rPr>
          <w:rFonts w:hint="eastAsia" w:ascii="微软雅黑" w:hAnsi="微软雅黑" w:eastAsia="微软雅黑"/>
          <w:sz w:val="36"/>
          <w:szCs w:val="36"/>
          <w:highlight w:val="none"/>
        </w:rPr>
        <w:t>六、单</w:t>
      </w:r>
      <w:r>
        <w:rPr>
          <w:rFonts w:hint="eastAsia" w:ascii="微软雅黑" w:hAnsi="微软雅黑" w:eastAsia="微软雅黑"/>
          <w:sz w:val="36"/>
          <w:szCs w:val="36"/>
        </w:rPr>
        <w:t>元板安装孔位图</w:t>
      </w:r>
      <w:bookmarkEnd w:id="6"/>
    </w:p>
    <w:p>
      <w:r>
        <w:drawing>
          <wp:inline distT="0" distB="0" distL="0" distR="0">
            <wp:extent cx="6299200" cy="251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674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推荐 640*480 箱体安装孔位图</w:t>
      </w:r>
    </w:p>
    <w:p>
      <w:pPr>
        <w:pStyle w:val="2"/>
      </w:pPr>
      <w:r>
        <w:drawing>
          <wp:inline distT="0" distB="0" distL="0" distR="0">
            <wp:extent cx="6276975" cy="35293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1452245</wp:posOffset>
            </wp:positionV>
            <wp:extent cx="6167755" cy="302895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168" cy="305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2"/>
      </w:pPr>
      <w:r>
        <w:t>备注： 所有尺寸的单位为 mm</w:t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7" w:name="_Toc3420"/>
      <w:r>
        <w:rPr>
          <w:rFonts w:hint="eastAsia" w:ascii="微软雅黑" w:hAnsi="微软雅黑" w:eastAsia="微软雅黑"/>
          <w:sz w:val="36"/>
          <w:szCs w:val="36"/>
        </w:rPr>
        <w:t>七、安装指导</w:t>
      </w:r>
      <w:bookmarkEnd w:id="7"/>
    </w:p>
    <w:p>
      <w:pPr>
        <w:pStyle w:val="27"/>
        <w:numPr>
          <w:ilvl w:val="0"/>
          <w:numId w:val="5"/>
        </w:numPr>
        <w:ind w:firstLineChars="0"/>
      </w:pPr>
      <w:r>
        <w:t>箱体与单元板安装示意图(此图仅供参考，具体接线方式参考实物)：</w:t>
      </w:r>
    </w:p>
    <w:p>
      <w:pPr>
        <w:pStyle w:val="2"/>
      </w:pPr>
      <w:r>
        <w:drawing>
          <wp:inline distT="0" distB="0" distL="0" distR="0">
            <wp:extent cx="552958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78105</wp:posOffset>
          </wp:positionV>
          <wp:extent cx="586105" cy="586105"/>
          <wp:effectExtent l="0" t="0" r="4445" b="4445"/>
          <wp:wrapSquare wrapText="bothSides"/>
          <wp:docPr id="10" name="图片 10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6" name="图片 6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13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136525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30" name="图片 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</w:t>
    </w:r>
  </w:p>
  <w:p>
    <w:pPr>
      <w:pStyle w:val="13"/>
      <w:ind w:firstLine="3000" w:firstLineChars="15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9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               </w:t>
    </w:r>
    <w:bookmarkStart w:id="8" w:name="_Hlk119427685"/>
    <w:bookmarkStart w:id="9" w:name="_Hlk119427522"/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bookmarkEnd w:id="8"/>
    <w:bookmarkEnd w:id="9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320" w:hanging="4320" w:hangingChars="2400"/>
      <w:jc w:val="both"/>
    </w:pPr>
    <w:r>
      <w:drawing>
        <wp:inline distT="0" distB="0" distL="0" distR="0">
          <wp:extent cx="2462530" cy="7239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     </w:t>
    </w:r>
    <w:r>
      <w:t xml:space="preserve">           </w:t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3" name="图片 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rFonts w:hint="eastAsia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5580" w:hanging="5580" w:hangingChars="3100"/>
      <w:jc w:val="both"/>
    </w:pPr>
    <w:r>
      <w:drawing>
        <wp:inline distT="0" distB="0" distL="0" distR="0">
          <wp:extent cx="2462530" cy="723900"/>
          <wp:effectExtent l="0" t="0" r="444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28" name="图片 28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5D7B"/>
    <w:multiLevelType w:val="multilevel"/>
    <w:tmpl w:val="09385D7B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19406EC"/>
    <w:multiLevelType w:val="multilevel"/>
    <w:tmpl w:val="119406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B25A5"/>
    <w:multiLevelType w:val="multilevel"/>
    <w:tmpl w:val="235B25A5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1FBE"/>
    <w:multiLevelType w:val="multilevel"/>
    <w:tmpl w:val="690B1F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5E64C66"/>
    <w:multiLevelType w:val="multilevel"/>
    <w:tmpl w:val="75E64C6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34552"/>
    <w:rsid w:val="000355CA"/>
    <w:rsid w:val="000678A8"/>
    <w:rsid w:val="00086ACB"/>
    <w:rsid w:val="00086AFE"/>
    <w:rsid w:val="00090729"/>
    <w:rsid w:val="00093538"/>
    <w:rsid w:val="000A4422"/>
    <w:rsid w:val="000A64E2"/>
    <w:rsid w:val="000B3DFC"/>
    <w:rsid w:val="000C0A5E"/>
    <w:rsid w:val="000C3003"/>
    <w:rsid w:val="000F5B6D"/>
    <w:rsid w:val="00102DB8"/>
    <w:rsid w:val="00112271"/>
    <w:rsid w:val="001128B1"/>
    <w:rsid w:val="00131FEB"/>
    <w:rsid w:val="00132C8D"/>
    <w:rsid w:val="001343A8"/>
    <w:rsid w:val="00157397"/>
    <w:rsid w:val="0017241F"/>
    <w:rsid w:val="00185DDD"/>
    <w:rsid w:val="00193A63"/>
    <w:rsid w:val="001E03F6"/>
    <w:rsid w:val="00205486"/>
    <w:rsid w:val="00210A86"/>
    <w:rsid w:val="00213AFE"/>
    <w:rsid w:val="00286C39"/>
    <w:rsid w:val="0029030D"/>
    <w:rsid w:val="00295F7B"/>
    <w:rsid w:val="002B3994"/>
    <w:rsid w:val="002C6ADA"/>
    <w:rsid w:val="002D6FB1"/>
    <w:rsid w:val="00315BB1"/>
    <w:rsid w:val="00327C25"/>
    <w:rsid w:val="00330BD7"/>
    <w:rsid w:val="0035080F"/>
    <w:rsid w:val="00352C00"/>
    <w:rsid w:val="00375CB2"/>
    <w:rsid w:val="003D75DC"/>
    <w:rsid w:val="003F266E"/>
    <w:rsid w:val="00400A93"/>
    <w:rsid w:val="004028C0"/>
    <w:rsid w:val="00432739"/>
    <w:rsid w:val="00451480"/>
    <w:rsid w:val="00457C71"/>
    <w:rsid w:val="00464436"/>
    <w:rsid w:val="004773A2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3098E"/>
    <w:rsid w:val="00530D40"/>
    <w:rsid w:val="00552C74"/>
    <w:rsid w:val="00555120"/>
    <w:rsid w:val="005701E6"/>
    <w:rsid w:val="00572364"/>
    <w:rsid w:val="005736F9"/>
    <w:rsid w:val="00583456"/>
    <w:rsid w:val="00590301"/>
    <w:rsid w:val="00592132"/>
    <w:rsid w:val="0059410B"/>
    <w:rsid w:val="005A4F4B"/>
    <w:rsid w:val="005A7A0C"/>
    <w:rsid w:val="005B0A3E"/>
    <w:rsid w:val="005C604B"/>
    <w:rsid w:val="005C6864"/>
    <w:rsid w:val="006026D1"/>
    <w:rsid w:val="006063D8"/>
    <w:rsid w:val="00607F56"/>
    <w:rsid w:val="00612436"/>
    <w:rsid w:val="0061621C"/>
    <w:rsid w:val="006355BE"/>
    <w:rsid w:val="006422A0"/>
    <w:rsid w:val="00655A27"/>
    <w:rsid w:val="006854D3"/>
    <w:rsid w:val="006A6E60"/>
    <w:rsid w:val="006B2397"/>
    <w:rsid w:val="006C5CB9"/>
    <w:rsid w:val="006D0084"/>
    <w:rsid w:val="006E75AA"/>
    <w:rsid w:val="007067D8"/>
    <w:rsid w:val="0071502E"/>
    <w:rsid w:val="007355A7"/>
    <w:rsid w:val="00773493"/>
    <w:rsid w:val="007742EA"/>
    <w:rsid w:val="0077496E"/>
    <w:rsid w:val="0078442B"/>
    <w:rsid w:val="00790D07"/>
    <w:rsid w:val="007A475E"/>
    <w:rsid w:val="007B412B"/>
    <w:rsid w:val="007B5223"/>
    <w:rsid w:val="0080459E"/>
    <w:rsid w:val="008179CD"/>
    <w:rsid w:val="008C304A"/>
    <w:rsid w:val="008C43E8"/>
    <w:rsid w:val="00906440"/>
    <w:rsid w:val="00910126"/>
    <w:rsid w:val="00916448"/>
    <w:rsid w:val="00916CC4"/>
    <w:rsid w:val="00917A5E"/>
    <w:rsid w:val="00926B11"/>
    <w:rsid w:val="0093237D"/>
    <w:rsid w:val="00950714"/>
    <w:rsid w:val="009558CA"/>
    <w:rsid w:val="009607DF"/>
    <w:rsid w:val="00970071"/>
    <w:rsid w:val="00983086"/>
    <w:rsid w:val="009C02FC"/>
    <w:rsid w:val="009D2E7B"/>
    <w:rsid w:val="009D3F32"/>
    <w:rsid w:val="009D4C9F"/>
    <w:rsid w:val="00A00E7B"/>
    <w:rsid w:val="00A064FD"/>
    <w:rsid w:val="00A17F0B"/>
    <w:rsid w:val="00A30D02"/>
    <w:rsid w:val="00A543DF"/>
    <w:rsid w:val="00A55A95"/>
    <w:rsid w:val="00A63074"/>
    <w:rsid w:val="00A66659"/>
    <w:rsid w:val="00A837FF"/>
    <w:rsid w:val="00AA3C73"/>
    <w:rsid w:val="00AB2232"/>
    <w:rsid w:val="00AB7A25"/>
    <w:rsid w:val="00AD6500"/>
    <w:rsid w:val="00AF25A0"/>
    <w:rsid w:val="00AF7A26"/>
    <w:rsid w:val="00B465D8"/>
    <w:rsid w:val="00B55148"/>
    <w:rsid w:val="00B557FF"/>
    <w:rsid w:val="00B63C8F"/>
    <w:rsid w:val="00B72D1A"/>
    <w:rsid w:val="00BB08E1"/>
    <w:rsid w:val="00BC2526"/>
    <w:rsid w:val="00BD1454"/>
    <w:rsid w:val="00BF55EB"/>
    <w:rsid w:val="00C02CC3"/>
    <w:rsid w:val="00C10124"/>
    <w:rsid w:val="00C13E44"/>
    <w:rsid w:val="00C171C3"/>
    <w:rsid w:val="00C343A4"/>
    <w:rsid w:val="00C41ADF"/>
    <w:rsid w:val="00CB11B5"/>
    <w:rsid w:val="00CF18E9"/>
    <w:rsid w:val="00D02E21"/>
    <w:rsid w:val="00D26A4B"/>
    <w:rsid w:val="00D2756F"/>
    <w:rsid w:val="00D32400"/>
    <w:rsid w:val="00D32466"/>
    <w:rsid w:val="00D37526"/>
    <w:rsid w:val="00D414A6"/>
    <w:rsid w:val="00D56583"/>
    <w:rsid w:val="00D706BE"/>
    <w:rsid w:val="00D84E81"/>
    <w:rsid w:val="00D954B8"/>
    <w:rsid w:val="00DC52F9"/>
    <w:rsid w:val="00E21325"/>
    <w:rsid w:val="00E32342"/>
    <w:rsid w:val="00E47FA0"/>
    <w:rsid w:val="00E523E0"/>
    <w:rsid w:val="00E5532E"/>
    <w:rsid w:val="00E623FC"/>
    <w:rsid w:val="00E67346"/>
    <w:rsid w:val="00EC3907"/>
    <w:rsid w:val="00EE2239"/>
    <w:rsid w:val="00EF36F4"/>
    <w:rsid w:val="00F24C83"/>
    <w:rsid w:val="00F35BB0"/>
    <w:rsid w:val="00F41DB5"/>
    <w:rsid w:val="00F67EB6"/>
    <w:rsid w:val="00F9329E"/>
    <w:rsid w:val="00FA56F1"/>
    <w:rsid w:val="00FC211B"/>
    <w:rsid w:val="00FD01D8"/>
    <w:rsid w:val="00FD0D8A"/>
    <w:rsid w:val="04B213C1"/>
    <w:rsid w:val="057E74F5"/>
    <w:rsid w:val="05A131E3"/>
    <w:rsid w:val="0A9F4195"/>
    <w:rsid w:val="0B6D6042"/>
    <w:rsid w:val="0D224E4F"/>
    <w:rsid w:val="101C440E"/>
    <w:rsid w:val="114E06C3"/>
    <w:rsid w:val="11C91AF8"/>
    <w:rsid w:val="15E2762C"/>
    <w:rsid w:val="16CA259A"/>
    <w:rsid w:val="17D80473"/>
    <w:rsid w:val="183028D1"/>
    <w:rsid w:val="18D94D16"/>
    <w:rsid w:val="1C024584"/>
    <w:rsid w:val="1D61352C"/>
    <w:rsid w:val="1E7B061E"/>
    <w:rsid w:val="1F0B7BF4"/>
    <w:rsid w:val="1F14208B"/>
    <w:rsid w:val="207F7B8E"/>
    <w:rsid w:val="21F11323"/>
    <w:rsid w:val="22EA5D72"/>
    <w:rsid w:val="24561911"/>
    <w:rsid w:val="25800FD6"/>
    <w:rsid w:val="26A34BB6"/>
    <w:rsid w:val="2A6428AE"/>
    <w:rsid w:val="2B847C6D"/>
    <w:rsid w:val="2D1C7470"/>
    <w:rsid w:val="2D870D8D"/>
    <w:rsid w:val="2E335B48"/>
    <w:rsid w:val="302C5C1C"/>
    <w:rsid w:val="311A1F18"/>
    <w:rsid w:val="315E1E05"/>
    <w:rsid w:val="319620CE"/>
    <w:rsid w:val="35AA386B"/>
    <w:rsid w:val="39616936"/>
    <w:rsid w:val="3C4D4F50"/>
    <w:rsid w:val="3DFC6C2D"/>
    <w:rsid w:val="3DFE0BF8"/>
    <w:rsid w:val="3F163D1F"/>
    <w:rsid w:val="402C30CE"/>
    <w:rsid w:val="445F194D"/>
    <w:rsid w:val="449F6565"/>
    <w:rsid w:val="45E5269D"/>
    <w:rsid w:val="4E870795"/>
    <w:rsid w:val="4E9764FE"/>
    <w:rsid w:val="4EA8496E"/>
    <w:rsid w:val="503F0BFC"/>
    <w:rsid w:val="50BB2978"/>
    <w:rsid w:val="50EC0D83"/>
    <w:rsid w:val="51905BB3"/>
    <w:rsid w:val="51D57A6A"/>
    <w:rsid w:val="52944C12"/>
    <w:rsid w:val="538C05FC"/>
    <w:rsid w:val="552F7491"/>
    <w:rsid w:val="56755377"/>
    <w:rsid w:val="56D54068"/>
    <w:rsid w:val="56F02C50"/>
    <w:rsid w:val="589046EA"/>
    <w:rsid w:val="597D4C6F"/>
    <w:rsid w:val="598D4799"/>
    <w:rsid w:val="5A737E20"/>
    <w:rsid w:val="5B5A4166"/>
    <w:rsid w:val="5C0C052C"/>
    <w:rsid w:val="61AA1D5B"/>
    <w:rsid w:val="62053A53"/>
    <w:rsid w:val="64BE25DF"/>
    <w:rsid w:val="677671A1"/>
    <w:rsid w:val="690A736D"/>
    <w:rsid w:val="69586B5E"/>
    <w:rsid w:val="6C044D7B"/>
    <w:rsid w:val="6DE035C6"/>
    <w:rsid w:val="6EAD133E"/>
    <w:rsid w:val="6F7C10CD"/>
    <w:rsid w:val="746C5BB4"/>
    <w:rsid w:val="74FC0CE6"/>
    <w:rsid w:val="759E7FEF"/>
    <w:rsid w:val="76E93A99"/>
    <w:rsid w:val="77316C41"/>
    <w:rsid w:val="77BE6DDB"/>
    <w:rsid w:val="77BF424C"/>
    <w:rsid w:val="77EC376A"/>
    <w:rsid w:val="787E10DD"/>
    <w:rsid w:val="78FC4816"/>
    <w:rsid w:val="7940533C"/>
    <w:rsid w:val="794932DF"/>
    <w:rsid w:val="7E4E00D8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8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4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1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next w:val="1"/>
    <w:link w:val="4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8">
    <w:name w:val="Table Grid"/>
    <w:basedOn w:val="17"/>
    <w:qFormat/>
    <w:uiPriority w:val="0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9"/>
    <w:link w:val="5"/>
    <w:qFormat/>
    <w:uiPriority w:val="9"/>
    <w:rPr>
      <w:b/>
      <w:sz w:val="32"/>
    </w:rPr>
  </w:style>
  <w:style w:type="character" w:customStyle="1" w:styleId="25">
    <w:name w:val="标题 2 字符"/>
    <w:basedOn w:val="19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9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0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31">
    <w:name w:val="样式1"/>
    <w:basedOn w:val="3"/>
    <w:next w:val="1"/>
    <w:qFormat/>
    <w:uiPriority w:val="0"/>
    <w:pPr>
      <w:spacing w:before="100" w:after="90"/>
    </w:pPr>
  </w:style>
  <w:style w:type="paragraph" w:customStyle="1" w:styleId="32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Table Paragraph"/>
    <w:basedOn w:val="1"/>
    <w:qFormat/>
    <w:uiPriority w:val="1"/>
  </w:style>
  <w:style w:type="paragraph" w:styleId="37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38">
    <w:name w:val="网格型1"/>
    <w:basedOn w:val="1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">
    <w:name w:val="Block Label"/>
    <w:basedOn w:val="16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40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41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table" w:customStyle="1" w:styleId="4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3">
    <w:name w:val="标题 5 字符"/>
    <w:basedOn w:val="19"/>
    <w:link w:val="7"/>
    <w:qFormat/>
    <w:uiPriority w:val="9"/>
    <w:rPr>
      <w:b/>
      <w:bCs/>
      <w:kern w:val="2"/>
      <w:sz w:val="28"/>
      <w:szCs w:val="28"/>
    </w:rPr>
  </w:style>
  <w:style w:type="character" w:customStyle="1" w:styleId="44">
    <w:name w:val="标题 4 字符"/>
    <w:basedOn w:val="19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45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1983</Words>
  <Characters>2215</Characters>
  <Lines>19</Lines>
  <Paragraphs>5</Paragraphs>
  <TotalTime>0</TotalTime>
  <ScaleCrop>false</ScaleCrop>
  <LinksUpToDate>false</LinksUpToDate>
  <CharactersWithSpaces>2333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南瓜土豆</cp:lastModifiedBy>
  <cp:lastPrinted>2022-11-15T03:28:00Z</cp:lastPrinted>
  <dcterms:modified xsi:type="dcterms:W3CDTF">2022-12-20T08:26:19Z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B56A9F9C4A8A4249A7086ABF7058B32B</vt:lpwstr>
  </property>
</Properties>
</file>