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72"/>
          <w:szCs w:val="72"/>
        </w:rPr>
      </w:pPr>
      <w:bookmarkStart w:id="0" w:name="_Hlk34051380"/>
    </w:p>
    <w:p>
      <w:pPr>
        <w:spacing w:line="260" w:lineRule="atLeast"/>
        <w:ind w:firstLine="2161" w:firstLineChars="300"/>
        <w:rPr>
          <w:rFonts w:ascii="微软雅黑" w:hAnsi="微软雅黑" w:eastAsia="微软雅黑" w:cs="微软雅黑"/>
          <w:b/>
          <w:bCs/>
          <w:sz w:val="72"/>
          <w:szCs w:val="72"/>
        </w:rPr>
      </w:pPr>
      <w:r>
        <w:rPr>
          <w:rFonts w:hint="eastAsia" w:ascii="微软雅黑" w:hAnsi="微软雅黑" w:eastAsia="微软雅黑" w:cs="微软雅黑"/>
          <w:b/>
          <w:bCs/>
          <w:sz w:val="72"/>
          <w:szCs w:val="72"/>
        </w:rPr>
        <w:t>L</w:t>
      </w:r>
      <w:r>
        <w:rPr>
          <w:rFonts w:ascii="微软雅黑" w:hAnsi="微软雅黑" w:eastAsia="微软雅黑" w:cs="微软雅黑"/>
          <w:b/>
          <w:bCs/>
          <w:sz w:val="72"/>
          <w:szCs w:val="72"/>
        </w:rPr>
        <w:t>ED</w:t>
      </w:r>
      <w:r>
        <w:rPr>
          <w:rFonts w:hint="eastAsia" w:ascii="微软雅黑" w:hAnsi="微软雅黑" w:eastAsia="微软雅黑" w:cs="微软雅黑"/>
          <w:b/>
          <w:bCs/>
          <w:sz w:val="72"/>
          <w:szCs w:val="72"/>
        </w:rPr>
        <w:t>室内全彩屏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sz w:val="88"/>
          <w:szCs w:val="88"/>
        </w:rPr>
      </w:pPr>
      <w:bookmarkStart w:id="10" w:name="_GoBack"/>
      <w:bookmarkEnd w:id="10"/>
      <w:r>
        <w:rPr>
          <w:rFonts w:ascii="微软雅黑" w:hAnsi="微软雅黑" w:eastAsia="微软雅黑"/>
          <w:color w:val="1E1916"/>
          <w:w w:val="110"/>
          <w:sz w:val="36"/>
          <w:szCs w:val="36"/>
        </w:rPr>
        <w:t>P-2.0</w:t>
      </w: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用</w:t>
      </w: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户</w:t>
      </w:r>
    </w:p>
    <w:p>
      <w:pPr>
        <w:jc w:val="center"/>
        <w:rPr>
          <w:rFonts w:ascii="微软雅黑" w:hAnsi="微软雅黑" w:eastAsia="微软雅黑" w:cs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 w:cs="微软雅黑"/>
          <w:b/>
          <w:bCs/>
          <w:sz w:val="88"/>
          <w:szCs w:val="88"/>
        </w:rPr>
        <w:t>手</w:t>
      </w:r>
    </w:p>
    <w:p>
      <w:pPr>
        <w:pStyle w:val="2"/>
        <w:jc w:val="center"/>
        <w:rPr>
          <w:rFonts w:hint="eastAsia" w:ascii="微软雅黑" w:hAnsi="微软雅黑" w:eastAsia="微软雅黑"/>
          <w:b/>
          <w:bCs/>
          <w:sz w:val="88"/>
          <w:szCs w:val="88"/>
        </w:rPr>
      </w:pPr>
      <w:r>
        <w:rPr>
          <w:rFonts w:hint="eastAsia" w:ascii="微软雅黑" w:hAnsi="微软雅黑" w:eastAsia="微软雅黑"/>
          <w:b/>
          <w:bCs/>
          <w:sz w:val="88"/>
          <w:szCs w:val="88"/>
        </w:rPr>
        <w:t>册</w:t>
      </w:r>
    </w:p>
    <w:p>
      <w:pPr>
        <w:pStyle w:val="2"/>
      </w:pPr>
    </w:p>
    <w:bookmarkEnd w:id="0"/>
    <w:p>
      <w:pPr>
        <w:spacing w:line="360" w:lineRule="auto"/>
        <w:jc w:val="center"/>
        <w:rPr>
          <w:rFonts w:ascii="微软雅黑" w:hAnsi="微软雅黑" w:eastAsia="微软雅黑" w:cs="微软雅黑"/>
          <w:sz w:val="36"/>
          <w:szCs w:val="36"/>
          <w:vertAlign w:val="subscript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sz w:val="36"/>
          <w:szCs w:val="36"/>
          <w:vertAlign w:val="subscript"/>
        </w:rPr>
      </w:pPr>
      <w:r>
        <w:rPr>
          <w:rFonts w:hint="eastAsia" w:ascii="微软雅黑" w:hAnsi="微软雅黑" w:eastAsia="微软雅黑" w:cs="微软雅黑"/>
          <w:sz w:val="36"/>
          <w:szCs w:val="36"/>
          <w:vertAlign w:val="subscript"/>
        </w:rPr>
        <w:t>V</w:t>
      </w:r>
      <w:r>
        <w:rPr>
          <w:rFonts w:ascii="微软雅黑" w:hAnsi="微软雅黑" w:eastAsia="微软雅黑" w:cs="微软雅黑"/>
          <w:sz w:val="36"/>
          <w:szCs w:val="36"/>
          <w:vertAlign w:val="subscript"/>
        </w:rPr>
        <w:t>1.0</w:t>
      </w:r>
    </w:p>
    <w:p>
      <w:pPr>
        <w:pStyle w:val="2"/>
      </w:pPr>
    </w:p>
    <w:p>
      <w:pPr>
        <w:pStyle w:val="2"/>
      </w:pPr>
    </w:p>
    <w:p>
      <w:pPr>
        <w:tabs>
          <w:tab w:val="left" w:pos="2985"/>
          <w:tab w:val="center" w:pos="5201"/>
        </w:tabs>
        <w:spacing w:line="260" w:lineRule="atLeast"/>
        <w:jc w:val="center"/>
        <w:rPr>
          <w:rFonts w:hint="eastAsia" w:ascii="微软雅黑" w:hAnsi="微软雅黑" w:eastAsia="微软雅黑" w:cs="微软雅黑"/>
          <w:sz w:val="36"/>
          <w:szCs w:val="36"/>
        </w:rPr>
        <w:sectPr>
          <w:headerReference r:id="rId3" w:type="default"/>
          <w:footerReference r:id="rId4" w:type="default"/>
          <w:pgSz w:w="11906" w:h="16838"/>
          <w:pgMar w:top="1440" w:right="991" w:bottom="1440" w:left="993" w:header="454" w:footer="907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36"/>
          <w:szCs w:val="36"/>
        </w:rPr>
        <w:t>上海大因多媒体技术有限公司</w:t>
      </w:r>
    </w:p>
    <w:p>
      <w:pPr>
        <w:spacing w:line="260" w:lineRule="atLeast"/>
        <w:ind w:firstLine="880" w:firstLineChars="200"/>
        <w:jc w:val="left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sz w:val="44"/>
          <w:szCs w:val="44"/>
        </w:rPr>
        <w:t>安全须知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微软雅黑" w:hAnsi="微软雅黑" w:eastAsia="微软雅黑" w:cs="微软雅黑"/>
          <w:sz w:val="24"/>
          <w:szCs w:val="24"/>
        </w:rPr>
        <w:t>请先阅读所有说明，然后再尝试打开包装，安装或在连接电源之前，请操作本设备。打开包装并安装设备时，请记住以下几点：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</w:t>
      </w:r>
      <w:r>
        <w:rPr>
          <w:rFonts w:ascii="微软雅黑" w:hAnsi="微软雅黑" w:eastAsia="微软雅黑" w:cs="微软雅黑"/>
          <w:sz w:val="24"/>
          <w:szCs w:val="24"/>
        </w:rPr>
        <w:t>始终遵循基本的安全预防措施，以减少火灾风险，电击和人身伤害。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＊为避免起火或电击危险，请勿将本机淋雨，潮湿或将本产品安装在靠近水的地方。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＊切勿将任何液体溅到本产品之上或之中</w:t>
      </w:r>
      <w:r>
        <w:rPr>
          <w:rFonts w:hint="eastAsia" w:ascii="Arial" w:hAnsi="Arial" w:eastAsia="微软雅黑" w:cs="Arial"/>
          <w:sz w:val="24"/>
          <w:szCs w:val="24"/>
        </w:rPr>
        <w:t>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＊切勿通过任何方式将任何物体塞入本产品设备上的开口或空槽，因为可能会损坏单元内部零件。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＊请勿将电源线连接到建筑物表面。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＊仅使用随附的电源设备。 如果电源已损坏请勿使用。</w:t>
      </w:r>
    </w:p>
    <w:p>
      <w:pPr>
        <w:spacing w:line="260" w:lineRule="atLeast"/>
        <w:ind w:firstLine="480" w:firstLineChars="200"/>
        <w:jc w:val="left"/>
        <w:rPr>
          <w:rFonts w:ascii="Arial" w:hAnsi="Arial" w:eastAsia="微软雅黑" w:cs="Arial"/>
          <w:sz w:val="24"/>
          <w:szCs w:val="24"/>
        </w:rPr>
      </w:pPr>
      <w:r>
        <w:rPr>
          <w:rFonts w:ascii="Arial" w:hAnsi="Arial" w:eastAsia="微软雅黑" w:cs="Arial"/>
          <w:sz w:val="24"/>
          <w:szCs w:val="24"/>
        </w:rPr>
        <w:t>＊请勿在电源线上放置任何物品在或放置</w:t>
      </w:r>
      <w:r>
        <w:rPr>
          <w:rFonts w:hint="eastAsia" w:ascii="Arial" w:hAnsi="Arial" w:eastAsia="微软雅黑" w:cs="Arial"/>
          <w:sz w:val="24"/>
          <w:szCs w:val="24"/>
        </w:rPr>
        <w:t>在</w:t>
      </w:r>
      <w:r>
        <w:rPr>
          <w:rFonts w:ascii="Arial" w:hAnsi="Arial" w:eastAsia="微软雅黑" w:cs="Arial"/>
          <w:sz w:val="24"/>
          <w:szCs w:val="24"/>
        </w:rPr>
        <w:t>人</w:t>
      </w:r>
      <w:r>
        <w:rPr>
          <w:rFonts w:hint="eastAsia" w:ascii="Arial" w:hAnsi="Arial" w:eastAsia="微软雅黑" w:cs="Arial"/>
          <w:sz w:val="24"/>
          <w:szCs w:val="24"/>
        </w:rPr>
        <w:t>行走的通道上</w:t>
      </w:r>
      <w:r>
        <w:rPr>
          <w:rFonts w:ascii="Arial" w:hAnsi="Arial" w:eastAsia="微软雅黑" w:cs="Arial"/>
          <w:sz w:val="24"/>
          <w:szCs w:val="24"/>
        </w:rPr>
        <w:t>。</w:t>
      </w:r>
    </w:p>
    <w:p>
      <w:pPr>
        <w:spacing w:line="260" w:lineRule="atLeast"/>
        <w:ind w:firstLine="480" w:firstLineChars="200"/>
        <w:jc w:val="left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Arial" w:hAnsi="Arial" w:eastAsia="微软雅黑" w:cs="Arial"/>
          <w:sz w:val="24"/>
          <w:szCs w:val="24"/>
        </w:rPr>
        <w:t>＊为防止设备过热，请勿</w:t>
      </w:r>
      <w:r>
        <w:rPr>
          <w:rFonts w:hint="eastAsia" w:ascii="Arial" w:hAnsi="Arial" w:eastAsia="微软雅黑" w:cs="Arial"/>
          <w:sz w:val="24"/>
          <w:szCs w:val="24"/>
        </w:rPr>
        <w:t>将所有设备堆叠在一起</w:t>
      </w:r>
      <w:r>
        <w:rPr>
          <w:rFonts w:ascii="Arial" w:hAnsi="Arial" w:eastAsia="微软雅黑" w:cs="Arial"/>
          <w:sz w:val="24"/>
          <w:szCs w:val="24"/>
        </w:rPr>
        <w:t>或提供通风并允许足够的空间使空气在设备周围流通。</w:t>
      </w:r>
    </w:p>
    <w:p>
      <w:pPr>
        <w:spacing w:line="260" w:lineRule="atLeast"/>
        <w:ind w:firstLine="960" w:firstLineChars="200"/>
        <w:jc w:val="center"/>
        <w:rPr>
          <w:rFonts w:ascii="微软雅黑" w:hAnsi="微软雅黑" w:eastAsia="微软雅黑" w:cs="微软雅黑"/>
          <w:sz w:val="48"/>
          <w:vertAlign w:val="subscript"/>
        </w:rPr>
        <w:sectPr>
          <w:headerReference r:id="rId5" w:type="default"/>
          <w:footerReference r:id="rId6" w:type="default"/>
          <w:pgSz w:w="11906" w:h="16838"/>
          <w:pgMar w:top="1440" w:right="991" w:bottom="1440" w:left="993" w:header="454" w:footer="907" w:gutter="0"/>
          <w:cols w:space="425" w:num="1"/>
          <w:docGrid w:type="lines" w:linePitch="312" w:charSpace="0"/>
        </w:sectPr>
      </w:pPr>
    </w:p>
    <w:sdt>
      <w:sdtPr>
        <w:rPr>
          <w:lang w:val="zh-CN"/>
        </w:rPr>
        <w:id w:val="1674291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45"/>
            <w:jc w:val="center"/>
            <w:rPr>
              <w:rFonts w:ascii="微软雅黑" w:hAnsi="微软雅黑" w:eastAsia="微软雅黑"/>
              <w:color w:val="auto"/>
            </w:rPr>
          </w:pPr>
          <w:r>
            <w:rPr>
              <w:rFonts w:ascii="微软雅黑" w:hAnsi="微软雅黑" w:eastAsia="微软雅黑"/>
              <w:color w:val="auto"/>
              <w:lang w:val="zh-CN"/>
            </w:rPr>
            <w:t>目录</w:t>
          </w:r>
        </w:p>
        <w:p>
          <w:pPr>
            <w:pStyle w:val="15"/>
            <w:tabs>
              <w:tab w:val="right" w:leader="dot" w:pos="9922"/>
            </w:tabs>
          </w:pP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TOC \o "1-3" \h \z \u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ascii="微软雅黑" w:hAnsi="微软雅黑" w:eastAsia="微软雅黑"/>
            </w:rPr>
            <w:fldChar w:fldCharType="begin"/>
          </w:r>
          <w:r>
            <w:rPr>
              <w:rFonts w:ascii="微软雅黑" w:hAnsi="微软雅黑" w:eastAsia="微软雅黑"/>
            </w:rPr>
            <w:instrText xml:space="preserve"> HYPERLINK \l _Toc29727 </w:instrText>
          </w:r>
          <w:r>
            <w:rPr>
              <w:rFonts w:ascii="微软雅黑" w:hAnsi="微软雅黑" w:eastAsia="微软雅黑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36"/>
            </w:rPr>
            <w:t xml:space="preserve">一、 </w:t>
          </w:r>
          <w:r>
            <w:rPr>
              <w:rFonts w:hint="eastAsia" w:ascii="微软雅黑" w:hAnsi="微软雅黑" w:eastAsia="微软雅黑" w:cs="微软雅黑"/>
              <w:bCs/>
              <w:szCs w:val="36"/>
            </w:rPr>
            <w:t>适用范围</w:t>
          </w:r>
          <w:r>
            <w:tab/>
          </w:r>
          <w:r>
            <w:fldChar w:fldCharType="begin"/>
          </w:r>
          <w:r>
            <w:instrText xml:space="preserve"> PAGEREF _Toc29727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</w:rPr>
            <w:fldChar w:fldCharType="end"/>
          </w:r>
        </w:p>
        <w:p>
          <w:pPr>
            <w:pStyle w:val="15"/>
            <w:tabs>
              <w:tab w:val="right" w:leader="dot" w:pos="9922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_Toc10984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t>二、注意事项</w:t>
          </w:r>
          <w:r>
            <w:tab/>
          </w:r>
          <w:r>
            <w:fldChar w:fldCharType="begin"/>
          </w:r>
          <w:r>
            <w:instrText xml:space="preserve"> PAGEREF _Toc10984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9922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_Toc8851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t>三、产品说明</w:t>
          </w:r>
          <w:r>
            <w:tab/>
          </w:r>
          <w:r>
            <w:fldChar w:fldCharType="begin"/>
          </w:r>
          <w:r>
            <w:instrText xml:space="preserve"> PAGEREF _Toc8851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9922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_Toc10603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36"/>
            </w:rPr>
            <w:t>四、产品技术要求</w:t>
          </w:r>
          <w:r>
            <w:tab/>
          </w:r>
          <w:r>
            <w:fldChar w:fldCharType="begin"/>
          </w:r>
          <w:r>
            <w:instrText xml:space="preserve"> PAGEREF _Toc10603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9922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_Toc17802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default" w:ascii="微软雅黑" w:hAnsi="微软雅黑" w:eastAsia="微软雅黑"/>
              <w:szCs w:val="36"/>
            </w:rPr>
            <w:t xml:space="preserve">五、 </w:t>
          </w:r>
          <w:r>
            <w:rPr>
              <w:rFonts w:hint="eastAsia" w:ascii="微软雅黑" w:hAnsi="微软雅黑" w:eastAsia="微软雅黑"/>
              <w:szCs w:val="36"/>
            </w:rPr>
            <w:t>单元板信号接口定义</w:t>
          </w:r>
          <w:r>
            <w:tab/>
          </w:r>
          <w:r>
            <w:fldChar w:fldCharType="begin"/>
          </w:r>
          <w:r>
            <w:instrText xml:space="preserve"> PAGEREF _Toc17802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9922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_Toc12459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36"/>
              <w:highlight w:val="none"/>
            </w:rPr>
            <w:t>六、单</w:t>
          </w:r>
          <w:r>
            <w:rPr>
              <w:rFonts w:hint="eastAsia" w:ascii="微软雅黑" w:hAnsi="微软雅黑" w:eastAsia="微软雅黑"/>
              <w:szCs w:val="36"/>
            </w:rPr>
            <w:t>元板安装孔位图</w:t>
          </w:r>
          <w:r>
            <w:tab/>
          </w:r>
          <w:r>
            <w:fldChar w:fldCharType="begin"/>
          </w:r>
          <w:r>
            <w:instrText xml:space="preserve"> PAGEREF _Toc12459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9922"/>
            </w:tabs>
          </w:pPr>
          <w:r>
            <w:rPr>
              <w:rFonts w:ascii="微软雅黑" w:hAnsi="微软雅黑" w:eastAsia="微软雅黑"/>
              <w:bCs/>
              <w:lang w:val="zh-CN"/>
            </w:rPr>
            <w:fldChar w:fldCharType="begin"/>
          </w:r>
          <w:r>
            <w:rPr>
              <w:rFonts w:ascii="微软雅黑" w:hAnsi="微软雅黑" w:eastAsia="微软雅黑"/>
              <w:bCs/>
              <w:lang w:val="zh-CN"/>
            </w:rPr>
            <w:instrText xml:space="preserve"> HYPERLINK \l _Toc31868 </w:instrText>
          </w:r>
          <w:r>
            <w:rPr>
              <w:rFonts w:ascii="微软雅黑" w:hAnsi="微软雅黑" w:eastAsia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/>
              <w:szCs w:val="36"/>
            </w:rPr>
            <w:t>七、安装指导</w:t>
          </w:r>
          <w:r>
            <w:tab/>
          </w:r>
          <w:r>
            <w:fldChar w:fldCharType="begin"/>
          </w:r>
          <w:r>
            <w:instrText xml:space="preserve"> PAGEREF _Toc31868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  <w:p>
          <w:r>
            <w:rPr>
              <w:rFonts w:ascii="微软雅黑" w:hAnsi="微软雅黑" w:eastAsia="微软雅黑"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2"/>
      </w:pPr>
    </w:p>
    <w:p>
      <w:pPr>
        <w:widowControl/>
        <w:jc w:val="left"/>
        <w:rPr>
          <w:rFonts w:ascii="宋体" w:hAnsi="Times New Roman" w:eastAsia="宋体" w:cs="宋体"/>
          <w:color w:val="000000"/>
          <w:kern w:val="0"/>
          <w:sz w:val="24"/>
          <w:szCs w:val="24"/>
        </w:rPr>
      </w:pPr>
      <w:r>
        <w:br w:type="page"/>
      </w:r>
    </w:p>
    <w:p>
      <w:pPr>
        <w:pStyle w:val="27"/>
        <w:numPr>
          <w:ilvl w:val="0"/>
          <w:numId w:val="1"/>
        </w:numPr>
        <w:spacing w:before="312" w:beforeLines="100" w:after="312" w:afterLines="100" w:line="440" w:lineRule="exact"/>
        <w:ind w:firstLineChars="0"/>
        <w:outlineLvl w:val="0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1" w:name="_Toc29727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适用范围</w:t>
      </w:r>
      <w:bookmarkEnd w:id="1"/>
    </w:p>
    <w:p>
      <w:pPr>
        <w:spacing w:before="317" w:line="250" w:lineRule="exact"/>
        <w:ind w:firstLine="480" w:firstLineChars="200"/>
        <w:rPr>
          <w:rFonts w:ascii="微软雅黑" w:hAnsi="微软雅黑" w:eastAsia="微软雅黑"/>
          <w:color w:val="000000"/>
          <w:sz w:val="24"/>
          <w:szCs w:val="24"/>
        </w:rPr>
      </w:pPr>
      <w:r>
        <w:rPr>
          <w:rFonts w:ascii="微软雅黑" w:hAnsi="微软雅黑" w:eastAsia="微软雅黑" w:cs="宋体"/>
          <w:color w:val="000000"/>
          <w:sz w:val="24"/>
          <w:szCs w:val="24"/>
        </w:rPr>
        <w:t>本技术手册仅适用于室内全彩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P2.0</w:t>
      </w:r>
      <w:r>
        <w:rPr>
          <w:rFonts w:ascii="微软雅黑" w:hAnsi="微软雅黑" w:eastAsia="微软雅黑" w:cs="宋体"/>
          <w:color w:val="000000"/>
          <w:sz w:val="24"/>
          <w:szCs w:val="24"/>
        </w:rPr>
        <w:t>单元板，以下为常规型产品参数，如有特殊需求可定制</w:t>
      </w:r>
    </w:p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2" w:name="_Toc10984"/>
      <w:r>
        <w:rPr>
          <w:rFonts w:hint="eastAsia" w:ascii="微软雅黑" w:hAnsi="微软雅黑" w:eastAsia="微软雅黑" w:cs="微软雅黑"/>
          <w:sz w:val="36"/>
          <w:szCs w:val="36"/>
        </w:rPr>
        <w:t>二、注意事项</w:t>
      </w:r>
      <w:bookmarkEnd w:id="2"/>
    </w:p>
    <w:tbl>
      <w:tblPr>
        <w:tblStyle w:val="17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35"/>
        <w:gridCol w:w="61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3135" w:type="dxa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项目</w:t>
            </w:r>
          </w:p>
        </w:tc>
        <w:tc>
          <w:tcPr>
            <w:tcW w:w="6158" w:type="dxa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描述</w:t>
            </w:r>
          </w:p>
        </w:tc>
      </w:tr>
    </w:tbl>
    <w:tbl>
      <w:tblPr>
        <w:tblStyle w:val="17"/>
        <w:tblpPr w:leftFromText="180" w:rightFromText="180" w:vertAnchor="text" w:horzAnchor="margin" w:tblpY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2408"/>
        <w:gridCol w:w="61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720" w:type="dxa"/>
            <w:vMerge w:val="restart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环境 注意 事项</w:t>
            </w: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widowControl/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温度要求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存储温度范围：-10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-30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，超过 30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需做降温处理。 工作温度范围：-20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-40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，其它温度范围，需加装温控设备。 单元板工作时灯面温度：≤60</w:t>
            </w:r>
            <w:r>
              <w:rPr>
                <w:rFonts w:hint="eastAsia" w:cs="宋体" w:asciiTheme="minorEastAsia" w:hAnsi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/>
                <w:sz w:val="20"/>
                <w:szCs w:val="20"/>
              </w:rPr>
              <w:t>，温度超标需加装温控设备。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湿度要求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存储湿度范围：10%RH-60%RH，湿度超过 60%RH 需除湿处理。 工作湿度范围：10%RH -65%RH，湿度超标需对使用环境除湿处理 后才能正常使用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7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存放超期处理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产品存放时间超过一个月，使用前需经过 6 小时的老化后才能正 常使用。老化方式为：全亮亮度设置 10% 1H, 全亮亮度设置 30% 1H, 全亮亮度设置 60% 2H, 全亮亮度设置 80% 1H, 全亮亮度设 置 100% 1H（亮度逐渐递增老化）。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防尘要求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室内产品无防护等级或 IP30，显示屏不应暴露在尘埃较多的环境 中，比如演播室装修、改造等，需对显示屏进行特殊防护。装修 时不能安装 LED 显示屏。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防腐蚀性气体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腐蚀性气体在空气中含有盐或酸气的环境中，会造成电子元件的 腐蚀、结晶漏电等现象。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防电磁辐射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显示屏不宜安置在电磁辐射、射频辐射超过场强 5V/m 干扰源的环 境中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避开强光照射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强光会影响显示屏的显示效果和影响产品寿命，应避开安装在阳 光直射时间较长的方向。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远离水源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室内产品防护等级低，水导电可使电路短路，导致电路器件损 毁，故需远离水源。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静电危害，防止雷 击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屏体金属构件、开关电源外壳、箱体需接地良好，注意接地电阻 ≤10Ω。防止潮湿环境中，静电对电子器件的损坏，同时避免漏 电对人体的伤害。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人身伤害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显示屏安装的角度和高度需适宜，尖锐的边角需包装，防止强硬 外壳对人体的伤害。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720" w:type="dxa"/>
            <w:vMerge w:val="continue"/>
          </w:tcPr>
          <w:p>
            <w:pPr>
              <w:pStyle w:val="2"/>
              <w:jc w:val="center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408" w:type="dxa"/>
            <w:shd w:val="clear" w:color="auto" w:fill="auto"/>
          </w:tcPr>
          <w:p>
            <w:pPr>
              <w:jc w:val="center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特殊环境</w:t>
            </w:r>
          </w:p>
        </w:tc>
        <w:tc>
          <w:tcPr>
            <w:tcW w:w="6165" w:type="dxa"/>
            <w:shd w:val="clear" w:color="auto" w:fill="auto"/>
          </w:tcPr>
          <w:p>
            <w:pPr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特殊环境下使用 LED 显示屏（1、海边、游泳池、洗浴场、地下 室、隧道；2、化学品环境内、硫化环境、卤素环境；3、沙尘、 灰尘大的环境; 4、强紫外线环境; 5、强电磁场的环境；6、小于 -20 度，大于+40 度的环境），需根据产品应用环境妥善使用。</w:t>
            </w:r>
          </w:p>
        </w:tc>
      </w:tr>
    </w:tbl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p>
      <w:pPr>
        <w:pStyle w:val="2"/>
        <w:rPr>
          <w:rFonts w:asciiTheme="minorEastAsia" w:hAnsiTheme="minorEastAsia" w:eastAsiaTheme="minorEastAsia"/>
          <w:sz w:val="20"/>
          <w:szCs w:val="20"/>
        </w:rPr>
      </w:pPr>
    </w:p>
    <w:tbl>
      <w:tblPr>
        <w:tblStyle w:val="17"/>
        <w:tblW w:w="0" w:type="auto"/>
        <w:tblInd w:w="-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5"/>
        <w:gridCol w:w="2623"/>
        <w:gridCol w:w="5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795" w:type="dxa"/>
            <w:vMerge w:val="restart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 操作 注意 事项</w:t>
            </w: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  <w:p>
            <w:pPr>
              <w:pStyle w:val="2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静电防护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安装人员必需配带静电手环和静电手套，装配过程中各种工具必 须严格接地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产品批号管控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不同批号的产品不能装在一个屏上，否则显示屏上将会产生色块 （马赛克）现象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产品接线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单元板不能直接接入 220V，单元板供电正负极不能接反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拆装与运输过程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不得摔、推、挤、压单元板，以免损坏显示屏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拆装维护液体防护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拆装作业时不能有汗液或其它液体滴到显示屏上，如有滴到需要 酒精清洗产品滴液位置，防止液体腐蚀致产品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安装扭力控制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电源接线时需确保端子接头螺丝拧紧，防止接头位置松动，导致 接触电阻大引起烧线或产品损坏问题，M4 螺丝扭矩 6.0－8.0 Kgf.cm ，M3 螺丝扭矩 4.0－6.0 Kgf.cm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禁止带电作业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禁止在通电情况下拼装单元板，应将主电输入断开情况下进行单 元板上墙拼装，不允许带插入电源线和信号线拼装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禁止带电触摸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屏体点亮使用中禁止人员去触碰和触摸 LED 显示屏，以免人体摩 擦产生的静电击穿 LED 灯及芯片等元器件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6" w:hRule="atLeast"/>
        </w:trPr>
        <w:tc>
          <w:tcPr>
            <w:tcW w:w="795" w:type="dxa"/>
            <w:vMerge w:val="continue"/>
          </w:tcPr>
          <w:p>
            <w:pPr>
              <w:pStyle w:val="2"/>
              <w:ind w:left="10"/>
              <w:rPr>
                <w:rFonts w:asciiTheme="minorEastAsia" w:hAnsiTheme="minorEastAsia" w:eastAsiaTheme="minorEastAsia"/>
                <w:sz w:val="20"/>
                <w:szCs w:val="20"/>
              </w:rPr>
            </w:pPr>
          </w:p>
        </w:tc>
        <w:tc>
          <w:tcPr>
            <w:tcW w:w="2623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环境检查</w:t>
            </w:r>
          </w:p>
        </w:tc>
        <w:tc>
          <w:tcPr>
            <w:tcW w:w="5780" w:type="dxa"/>
            <w:shd w:val="clear" w:color="auto" w:fill="auto"/>
          </w:tcPr>
          <w:p>
            <w:pPr>
              <w:widowControl/>
              <w:jc w:val="left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/>
                <w:sz w:val="20"/>
                <w:szCs w:val="20"/>
              </w:rPr>
              <w:t>显示屏安装现场需配置温湿度计，及时监控屏体周围环境情况， 大雨过后，应及时检查显示屏内部是否有受潮、水珠、水气等问 题</w:t>
            </w:r>
          </w:p>
        </w:tc>
      </w:tr>
    </w:tbl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3" w:name="_Toc8851"/>
      <w:r>
        <w:rPr>
          <w:rFonts w:hint="eastAsia" w:ascii="微软雅黑" w:hAnsi="微软雅黑" w:eastAsia="微软雅黑" w:cs="微软雅黑"/>
          <w:sz w:val="36"/>
          <w:szCs w:val="36"/>
        </w:rPr>
        <w:t>三、产品说明</w:t>
      </w:r>
      <w:bookmarkEnd w:id="3"/>
    </w:p>
    <w:p>
      <w:pPr>
        <w:pStyle w:val="2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产品特点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优质灯管，灯管亮度利用率高，同时保障灯管使用寿命和优质的塑胶件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高对比度可达到良好的显示效果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重量轻、易于安装、拆卸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可进行单点、单灯维护，成本低</w:t>
      </w:r>
    </w:p>
    <w:p>
      <w:pPr>
        <w:pStyle w:val="27"/>
        <w:numPr>
          <w:ilvl w:val="0"/>
          <w:numId w:val="3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采用恒流方式驱动 LED，发光均匀，功耗低</w:t>
      </w:r>
    </w:p>
    <w:p>
      <w:pPr>
        <w:pStyle w:val="27"/>
        <w:numPr>
          <w:ilvl w:val="0"/>
          <w:numId w:val="2"/>
        </w:numPr>
        <w:ind w:firstLineChars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单元板图片</w:t>
      </w:r>
    </w:p>
    <w:p>
      <w:r>
        <w:drawing>
          <wp:inline distT="0" distB="0" distL="0" distR="0">
            <wp:extent cx="4271645" cy="1752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3081" cy="175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微软雅黑"/>
          <w:sz w:val="36"/>
          <w:szCs w:val="36"/>
        </w:rPr>
      </w:pPr>
      <w:bookmarkStart w:id="4" w:name="_Toc10603"/>
      <w:r>
        <w:rPr>
          <w:rFonts w:hint="eastAsia" w:ascii="微软雅黑" w:hAnsi="微软雅黑" w:eastAsia="微软雅黑" w:cs="微软雅黑"/>
          <w:sz w:val="36"/>
          <w:szCs w:val="36"/>
        </w:rPr>
        <w:t>四、产品技术要求</w:t>
      </w:r>
      <w:bookmarkEnd w:id="4"/>
    </w:p>
    <w:tbl>
      <w:tblPr>
        <w:tblStyle w:val="1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8"/>
        <w:gridCol w:w="2478"/>
        <w:gridCol w:w="2478"/>
        <w:gridCol w:w="24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像数点间距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2.0mm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像素密度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250000</w:t>
            </w:r>
            <w:r>
              <w:rPr>
                <w:rFonts w:ascii="宋体" w:hAnsi="宋体" w:eastAsia="宋体"/>
                <w:sz w:val="20"/>
                <w:szCs w:val="20"/>
              </w:rPr>
              <w:t>Pixels/m2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刷新频率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3840HZ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灯管封装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SMD1515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尺寸(长*宽*厚)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320*160*14.5mm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重量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0.43kg±0.01kg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结构特点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软连接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单元板分辨率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160*80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维护方式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前维护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级联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不可级联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单元板功率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≤20.25W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驱动方式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恒流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亮度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≥450cd/㎡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亮度均匀性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＞0.95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屏幕水平视角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160±10 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屏幕垂直视角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140±10 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最佳视距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≥6m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使用环境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室内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使用寿命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≥10 万小时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平均无故障时间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≥5000 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衰减率(工作 3 年)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≤10％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连续失控点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离散失控点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＜30PPM，出厂时为 0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盲点率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＜50PPM，出厂时为 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工作温度范围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-20</w:t>
            </w:r>
            <w:r>
              <w:rPr>
                <w:rFonts w:hint="eastAsia" w:cs="宋体" w:asciiTheme="minorEastAsia" w:hAnsiTheme="minorEastAsia" w:eastAsiaTheme="minorEastAsia"/>
                <w:sz w:val="20"/>
                <w:szCs w:val="20"/>
              </w:rPr>
              <w:t>℃</w:t>
            </w:r>
            <w:r>
              <w:rPr>
                <w:rFonts w:asciiTheme="minorEastAsia" w:hAnsiTheme="minorEastAsia" w:eastAsiaTheme="minorEastAsia"/>
                <w:sz w:val="20"/>
                <w:szCs w:val="20"/>
              </w:rPr>
              <w:t>-40</w:t>
            </w:r>
            <w:r>
              <w:rPr>
                <w:rFonts w:hint="eastAsia" w:cs="宋体" w:asciiTheme="minorEastAsia" w:hAnsiTheme="minorEastAsia" w:eastAsiaTheme="minorEastAsia"/>
                <w:sz w:val="20"/>
                <w:szCs w:val="20"/>
              </w:rPr>
              <w:t>℃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工作湿度范围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10％-65％RH(无结露)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模组平整度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＜0.2mm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/>
                <w:sz w:val="20"/>
                <w:szCs w:val="20"/>
              </w:rPr>
              <w:t>防护等级</w:t>
            </w:r>
          </w:p>
        </w:tc>
        <w:tc>
          <w:tcPr>
            <w:tcW w:w="2478" w:type="dxa"/>
          </w:tcPr>
          <w:p>
            <w:pPr>
              <w:rPr>
                <w:rFonts w:asciiTheme="minorEastAsia" w:hAnsiTheme="minorEastAsia" w:eastAsiaTheme="minorEastAsia"/>
                <w:sz w:val="20"/>
                <w:szCs w:val="20"/>
              </w:rPr>
            </w:pPr>
            <w:r>
              <w:rPr>
                <w:rFonts w:asciiTheme="minorEastAsia" w:hAnsiTheme="minorEastAsia" w:eastAsiaTheme="minorEastAsia"/>
                <w:sz w:val="20"/>
                <w:szCs w:val="20"/>
              </w:rPr>
              <w:t>IP30</w:t>
            </w:r>
          </w:p>
        </w:tc>
      </w:tr>
    </w:tbl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36"/>
          <w:szCs w:val="36"/>
        </w:rPr>
      </w:pPr>
      <w:bookmarkStart w:id="5" w:name="_Toc17802"/>
      <w:r>
        <w:rPr>
          <w:rFonts w:hint="eastAsia" w:ascii="微软雅黑" w:hAnsi="微软雅黑" w:eastAsia="微软雅黑"/>
          <w:sz w:val="36"/>
          <w:szCs w:val="36"/>
        </w:rPr>
        <w:t>单元板信号接口定义</w:t>
      </w:r>
      <w:bookmarkEnd w:id="5"/>
    </w:p>
    <w:p>
      <w:r>
        <w:drawing>
          <wp:inline distT="0" distB="0" distL="0" distR="0">
            <wp:extent cx="5915025" cy="3061970"/>
            <wp:effectExtent l="0" t="0" r="952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486" cy="30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36"/>
          <w:szCs w:val="36"/>
        </w:rPr>
      </w:pPr>
      <w:bookmarkStart w:id="6" w:name="_Toc12459"/>
      <w:r>
        <w:rPr>
          <w:rFonts w:hint="eastAsia" w:ascii="微软雅黑" w:hAnsi="微软雅黑" w:eastAsia="微软雅黑"/>
          <w:sz w:val="36"/>
          <w:szCs w:val="36"/>
          <w:highlight w:val="none"/>
        </w:rPr>
        <w:t>六、单</w:t>
      </w:r>
      <w:r>
        <w:rPr>
          <w:rFonts w:hint="eastAsia" w:ascii="微软雅黑" w:hAnsi="微软雅黑" w:eastAsia="微软雅黑"/>
          <w:sz w:val="36"/>
          <w:szCs w:val="36"/>
        </w:rPr>
        <w:t>元板安装孔位图</w:t>
      </w:r>
      <w:bookmarkEnd w:id="6"/>
    </w:p>
    <w:p>
      <w:r>
        <w:drawing>
          <wp:inline distT="0" distB="0" distL="0" distR="0">
            <wp:extent cx="6299200" cy="251460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674" cy="251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t>推荐 640*480 箱体安装孔位图</w:t>
      </w:r>
    </w:p>
    <w:p>
      <w:pPr>
        <w:pStyle w:val="2"/>
      </w:pPr>
      <w:r>
        <w:drawing>
          <wp:inline distT="0" distB="0" distL="0" distR="0">
            <wp:extent cx="6276975" cy="352933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666750</wp:posOffset>
            </wp:positionH>
            <wp:positionV relativeFrom="page">
              <wp:posOffset>1452245</wp:posOffset>
            </wp:positionV>
            <wp:extent cx="6167755" cy="3028950"/>
            <wp:effectExtent l="0" t="0" r="508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1168" cy="3055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2"/>
      </w:pPr>
      <w:r>
        <w:t>备注： 所有尺寸的单位为 mm</w:t>
      </w:r>
    </w:p>
    <w:p>
      <w:pPr>
        <w:pStyle w:val="3"/>
        <w:rPr>
          <w:rFonts w:ascii="微软雅黑" w:hAnsi="微软雅黑" w:eastAsia="微软雅黑"/>
          <w:sz w:val="36"/>
          <w:szCs w:val="36"/>
        </w:rPr>
      </w:pPr>
      <w:bookmarkStart w:id="7" w:name="_Toc31868"/>
      <w:r>
        <w:rPr>
          <w:rFonts w:hint="eastAsia" w:ascii="微软雅黑" w:hAnsi="微软雅黑" w:eastAsia="微软雅黑"/>
          <w:sz w:val="36"/>
          <w:szCs w:val="36"/>
        </w:rPr>
        <w:t>七、安装指导</w:t>
      </w:r>
      <w:bookmarkEnd w:id="7"/>
    </w:p>
    <w:p>
      <w:pPr>
        <w:pStyle w:val="27"/>
        <w:numPr>
          <w:ilvl w:val="0"/>
          <w:numId w:val="5"/>
        </w:numPr>
        <w:ind w:firstLineChars="0"/>
      </w:pPr>
      <w:r>
        <w:t>箱体与单元板安装示意图(此图仅供参考，具体接线方式参考实物)：</w:t>
      </w:r>
    </w:p>
    <w:p>
      <w:pPr>
        <w:pStyle w:val="2"/>
      </w:pPr>
      <w:r>
        <w:drawing>
          <wp:inline distT="0" distB="0" distL="0" distR="0">
            <wp:extent cx="5529580" cy="2914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sectPr>
      <w:pgSz w:w="11906" w:h="16838"/>
      <w:pgMar w:top="1440" w:right="991" w:bottom="1440" w:left="993" w:header="454" w:footer="9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s new Roam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5667375</wp:posOffset>
          </wp:positionH>
          <wp:positionV relativeFrom="paragraph">
            <wp:posOffset>78105</wp:posOffset>
          </wp:positionV>
          <wp:extent cx="586105" cy="586105"/>
          <wp:effectExtent l="0" t="0" r="4445" b="4445"/>
          <wp:wrapSquare wrapText="bothSides"/>
          <wp:docPr id="10" name="图片 10" descr="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微信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105" cy="586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left" w:leader="none"/>
    </w:r>
    <w:r>
      <w:t xml:space="preserve"> </w:t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6" name="图片 6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rFonts w:hint="eastAsia"/>
      </w:rPr>
      <w:t xml:space="preserve">                </w:t>
    </w:r>
  </w:p>
  <w:p>
    <w:pPr>
      <w:pStyle w:val="13"/>
      <w:ind w:right="600"/>
      <w:jc w:val="right"/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4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ab/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 xml:space="preserve">      表单号：BD-CPCTY-0001 A0</w:t>
    </w:r>
    <w:r>
      <w:rPr>
        <w:rFonts w:ascii="Times New Roman" w:hAnsi="Times New Roman" w:eastAsia="宋体" w:cs="Times New Roman"/>
        <w:sz w:val="20"/>
        <w:szCs w:val="20"/>
      </w:rPr>
      <w:t xml:space="preserve">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5695315</wp:posOffset>
          </wp:positionH>
          <wp:positionV relativeFrom="paragraph">
            <wp:posOffset>136525</wp:posOffset>
          </wp:positionV>
          <wp:extent cx="575945" cy="575310"/>
          <wp:effectExtent l="0" t="0" r="5080" b="5715"/>
          <wp:wrapSquare wrapText="bothSides"/>
          <wp:docPr id="15" name="图片 15" descr="C:\Users\PumpkinPotato\Desktop\微信公众号.png微信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C:\Users\PumpkinPotato\Desktop\微信公众号.png微信公众号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left" w:leader="none"/>
    </w:r>
    <w:r>
      <w:t xml:space="preserve">     </w:t>
    </w:r>
    <w:r>
      <w:rPr>
        <w:rFonts w:hint="eastAsia"/>
      </w:rPr>
      <w:drawing>
        <wp:inline distT="0" distB="0" distL="114300" distR="114300">
          <wp:extent cx="3731260" cy="695325"/>
          <wp:effectExtent l="0" t="0" r="2540" b="0"/>
          <wp:docPr id="30" name="图片 30" descr="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30" descr="页脚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31260" cy="695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</w:t>
    </w:r>
    <w:r>
      <w:t xml:space="preserve">   </w:t>
    </w:r>
  </w:p>
  <w:p>
    <w:pPr>
      <w:pStyle w:val="13"/>
      <w:ind w:firstLine="3000" w:firstLineChars="1500"/>
      <w:jc w:val="both"/>
    </w:pP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页码：第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PAGE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1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  <w:lang w:val="zh-CN"/>
      </w:rPr>
      <w:t xml:space="preserve"> /共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begin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instrText xml:space="preserve">NUMPAGES  \* Arabic  \* MERGEFORMAT</w:instrTex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separate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9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fldChar w:fldCharType="end"/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>页</w:t>
    </w:r>
    <w:r>
      <w:rPr>
        <w:rFonts w:hint="eastAsia"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</w:t>
    </w:r>
    <w:r>
      <w:rPr>
        <w:rFonts w:ascii="Times New Roman" w:hAnsi="Times New Roman" w:eastAsia="宋体" w:cs="Times New Roman"/>
        <w:b/>
        <w:bCs/>
        <w:color w:val="171A1D"/>
        <w:sz w:val="20"/>
        <w:szCs w:val="20"/>
        <w:shd w:val="clear" w:color="auto" w:fill="FFFFFF"/>
      </w:rPr>
      <w:t xml:space="preserve">                </w:t>
    </w:r>
    <w:bookmarkStart w:id="8" w:name="_Hlk119427685"/>
    <w:bookmarkStart w:id="9" w:name="_Hlk119427522"/>
    <w:r>
      <w:rPr>
        <w:rFonts w:ascii="Times New Roman" w:hAnsi="Times New Roman" w:eastAsia="宋体" w:cs="Times New Roman"/>
        <w:color w:val="171A1D"/>
        <w:sz w:val="20"/>
        <w:szCs w:val="20"/>
        <w:shd w:val="clear" w:color="auto" w:fill="FFFFFF"/>
      </w:rPr>
      <w:t>表单号：BD-CPCTY-0001 A0</w:t>
    </w:r>
    <w:bookmarkEnd w:id="8"/>
    <w:bookmarkEnd w:id="9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4320" w:hanging="4320" w:hangingChars="2400"/>
      <w:jc w:val="both"/>
    </w:pPr>
    <w:r>
      <w:drawing>
        <wp:inline distT="0" distB="0" distL="0" distR="0">
          <wp:extent cx="2462530" cy="7239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53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</w:r>
    <w:r>
      <w:rPr>
        <w:rFonts w:hint="eastAsia"/>
      </w:rPr>
      <w:t xml:space="preserve">          </w:t>
    </w:r>
    <w:r>
      <w:t xml:space="preserve">           </w:t>
    </w:r>
    <w:r>
      <w:rPr>
        <w:rFonts w:hint="eastAsia"/>
      </w:rPr>
      <w:t xml:space="preserve"> </w:t>
    </w:r>
    <w:r>
      <w:t xml:space="preserve">   </w:t>
    </w:r>
    <w:r>
      <w:rPr>
        <w:rFonts w:hint="eastAsia"/>
      </w:rPr>
      <w:drawing>
        <wp:inline distT="0" distB="0" distL="114300" distR="114300">
          <wp:extent cx="2376805" cy="826135"/>
          <wp:effectExtent l="0" t="0" r="4445" b="2540"/>
          <wp:docPr id="3" name="图片 3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82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  <w:r>
      <w:rPr>
        <w:rFonts w:hint="eastAsia"/>
      </w:rPr>
      <w:t xml:space="preserve">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left="5580" w:hanging="5580" w:hangingChars="3100"/>
      <w:jc w:val="both"/>
    </w:pPr>
    <w:r>
      <w:drawing>
        <wp:inline distT="0" distB="0" distL="0" distR="0">
          <wp:extent cx="2462530" cy="723900"/>
          <wp:effectExtent l="0" t="0" r="4445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253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>
      <w:rPr>
        <w:rFonts w:hint="eastAsia"/>
      </w:rPr>
      <w:drawing>
        <wp:inline distT="0" distB="0" distL="114300" distR="114300">
          <wp:extent cx="2376805" cy="826135"/>
          <wp:effectExtent l="0" t="0" r="4445" b="2540"/>
          <wp:docPr id="28" name="图片 28" descr="页眉右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图片 28" descr="页眉右边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76805" cy="826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rFonts w:hint="eastAsia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385D7B"/>
    <w:multiLevelType w:val="multilevel"/>
    <w:tmpl w:val="09385D7B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119406EC"/>
    <w:multiLevelType w:val="multilevel"/>
    <w:tmpl w:val="119406EC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5B25A5"/>
    <w:multiLevelType w:val="multilevel"/>
    <w:tmpl w:val="235B25A5"/>
    <w:lvl w:ilvl="0" w:tentative="0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90B1FBE"/>
    <w:multiLevelType w:val="multilevel"/>
    <w:tmpl w:val="690B1FBE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75E64C66"/>
    <w:multiLevelType w:val="multilevel"/>
    <w:tmpl w:val="75E64C66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2NDY4NDdlNzRkMWM2MjI0MmUwZDhlMTI5NTg1YWEifQ=="/>
  </w:docVars>
  <w:rsids>
    <w:rsidRoot w:val="00EE2239"/>
    <w:rsid w:val="00014B7E"/>
    <w:rsid w:val="00034552"/>
    <w:rsid w:val="000355CA"/>
    <w:rsid w:val="000678A8"/>
    <w:rsid w:val="00086ACB"/>
    <w:rsid w:val="00086AFE"/>
    <w:rsid w:val="00093538"/>
    <w:rsid w:val="000A64E2"/>
    <w:rsid w:val="000B3DFC"/>
    <w:rsid w:val="000C0A5E"/>
    <w:rsid w:val="000C3003"/>
    <w:rsid w:val="000F5B6D"/>
    <w:rsid w:val="00102DB8"/>
    <w:rsid w:val="00112271"/>
    <w:rsid w:val="001128B1"/>
    <w:rsid w:val="00131FEB"/>
    <w:rsid w:val="00132C8D"/>
    <w:rsid w:val="001343A8"/>
    <w:rsid w:val="00157397"/>
    <w:rsid w:val="0017241F"/>
    <w:rsid w:val="00193A63"/>
    <w:rsid w:val="001E03F6"/>
    <w:rsid w:val="00205486"/>
    <w:rsid w:val="00210A86"/>
    <w:rsid w:val="00213AFE"/>
    <w:rsid w:val="002218FD"/>
    <w:rsid w:val="00286C39"/>
    <w:rsid w:val="0029030D"/>
    <w:rsid w:val="00295F7B"/>
    <w:rsid w:val="002B3994"/>
    <w:rsid w:val="002C6ADA"/>
    <w:rsid w:val="002C77E8"/>
    <w:rsid w:val="002D2F70"/>
    <w:rsid w:val="002D6FB1"/>
    <w:rsid w:val="00315BB1"/>
    <w:rsid w:val="00327C25"/>
    <w:rsid w:val="00330BD7"/>
    <w:rsid w:val="0035080F"/>
    <w:rsid w:val="00352C00"/>
    <w:rsid w:val="00356F3F"/>
    <w:rsid w:val="00375CB2"/>
    <w:rsid w:val="003D75DC"/>
    <w:rsid w:val="003F266E"/>
    <w:rsid w:val="00400A93"/>
    <w:rsid w:val="004028C0"/>
    <w:rsid w:val="00426582"/>
    <w:rsid w:val="0043092A"/>
    <w:rsid w:val="00432739"/>
    <w:rsid w:val="00451480"/>
    <w:rsid w:val="00457C71"/>
    <w:rsid w:val="0046027B"/>
    <w:rsid w:val="004627B9"/>
    <w:rsid w:val="0046327D"/>
    <w:rsid w:val="00464436"/>
    <w:rsid w:val="004773A2"/>
    <w:rsid w:val="004A22AA"/>
    <w:rsid w:val="004A6AB6"/>
    <w:rsid w:val="004B6616"/>
    <w:rsid w:val="004D7995"/>
    <w:rsid w:val="004E30D0"/>
    <w:rsid w:val="004F3B59"/>
    <w:rsid w:val="00504BAC"/>
    <w:rsid w:val="0051138D"/>
    <w:rsid w:val="00514AFB"/>
    <w:rsid w:val="00525BC6"/>
    <w:rsid w:val="0053098E"/>
    <w:rsid w:val="00530D40"/>
    <w:rsid w:val="00552C74"/>
    <w:rsid w:val="00555120"/>
    <w:rsid w:val="005701E6"/>
    <w:rsid w:val="00572364"/>
    <w:rsid w:val="005736F9"/>
    <w:rsid w:val="00583456"/>
    <w:rsid w:val="00590301"/>
    <w:rsid w:val="00592132"/>
    <w:rsid w:val="0059410B"/>
    <w:rsid w:val="005A4F4B"/>
    <w:rsid w:val="005A7A0C"/>
    <w:rsid w:val="005B0A3E"/>
    <w:rsid w:val="005C604B"/>
    <w:rsid w:val="006026D1"/>
    <w:rsid w:val="006063D8"/>
    <w:rsid w:val="0061621C"/>
    <w:rsid w:val="006355BE"/>
    <w:rsid w:val="006422A0"/>
    <w:rsid w:val="00651B61"/>
    <w:rsid w:val="00655A27"/>
    <w:rsid w:val="006854D3"/>
    <w:rsid w:val="006A6E60"/>
    <w:rsid w:val="006B2397"/>
    <w:rsid w:val="006C5CB9"/>
    <w:rsid w:val="006D0084"/>
    <w:rsid w:val="006E75AA"/>
    <w:rsid w:val="006F569F"/>
    <w:rsid w:val="007067D8"/>
    <w:rsid w:val="007355A7"/>
    <w:rsid w:val="00773493"/>
    <w:rsid w:val="0077496E"/>
    <w:rsid w:val="007777AC"/>
    <w:rsid w:val="00790D07"/>
    <w:rsid w:val="007B412B"/>
    <w:rsid w:val="007B5223"/>
    <w:rsid w:val="0080459E"/>
    <w:rsid w:val="008179CD"/>
    <w:rsid w:val="0087014E"/>
    <w:rsid w:val="008C304A"/>
    <w:rsid w:val="008C43E8"/>
    <w:rsid w:val="00906440"/>
    <w:rsid w:val="00910126"/>
    <w:rsid w:val="00916448"/>
    <w:rsid w:val="00916CC4"/>
    <w:rsid w:val="00917A5E"/>
    <w:rsid w:val="00926B11"/>
    <w:rsid w:val="0093237D"/>
    <w:rsid w:val="00950714"/>
    <w:rsid w:val="009607DF"/>
    <w:rsid w:val="00983086"/>
    <w:rsid w:val="009C02FC"/>
    <w:rsid w:val="009D2E7B"/>
    <w:rsid w:val="009D3F32"/>
    <w:rsid w:val="009D4C9F"/>
    <w:rsid w:val="00A00E7B"/>
    <w:rsid w:val="00A064FD"/>
    <w:rsid w:val="00A15D3E"/>
    <w:rsid w:val="00A17F0B"/>
    <w:rsid w:val="00A26B6F"/>
    <w:rsid w:val="00A30D02"/>
    <w:rsid w:val="00A543DF"/>
    <w:rsid w:val="00A55A95"/>
    <w:rsid w:val="00A63074"/>
    <w:rsid w:val="00A66659"/>
    <w:rsid w:val="00A837FF"/>
    <w:rsid w:val="00AA3C73"/>
    <w:rsid w:val="00AB2232"/>
    <w:rsid w:val="00AB7A25"/>
    <w:rsid w:val="00AD6500"/>
    <w:rsid w:val="00AF25A0"/>
    <w:rsid w:val="00AF7A26"/>
    <w:rsid w:val="00B0342B"/>
    <w:rsid w:val="00B465D8"/>
    <w:rsid w:val="00B55148"/>
    <w:rsid w:val="00B557FF"/>
    <w:rsid w:val="00B63C8F"/>
    <w:rsid w:val="00B72D1A"/>
    <w:rsid w:val="00BB08E1"/>
    <w:rsid w:val="00BC2526"/>
    <w:rsid w:val="00BD1454"/>
    <w:rsid w:val="00BF55EB"/>
    <w:rsid w:val="00C02CC3"/>
    <w:rsid w:val="00C10124"/>
    <w:rsid w:val="00C13E44"/>
    <w:rsid w:val="00C171C3"/>
    <w:rsid w:val="00C343A4"/>
    <w:rsid w:val="00C41ADF"/>
    <w:rsid w:val="00CB11B5"/>
    <w:rsid w:val="00CE3ABD"/>
    <w:rsid w:val="00D26A4B"/>
    <w:rsid w:val="00D2756F"/>
    <w:rsid w:val="00D32400"/>
    <w:rsid w:val="00D32466"/>
    <w:rsid w:val="00D37526"/>
    <w:rsid w:val="00D56583"/>
    <w:rsid w:val="00D706BE"/>
    <w:rsid w:val="00D84E81"/>
    <w:rsid w:val="00DC52F9"/>
    <w:rsid w:val="00DF5EAB"/>
    <w:rsid w:val="00E21325"/>
    <w:rsid w:val="00E32342"/>
    <w:rsid w:val="00E47FA0"/>
    <w:rsid w:val="00E523E0"/>
    <w:rsid w:val="00E5532E"/>
    <w:rsid w:val="00E623FC"/>
    <w:rsid w:val="00E67346"/>
    <w:rsid w:val="00EC3907"/>
    <w:rsid w:val="00EE2239"/>
    <w:rsid w:val="00EF0D39"/>
    <w:rsid w:val="00EF36F4"/>
    <w:rsid w:val="00EF3A00"/>
    <w:rsid w:val="00F06D3F"/>
    <w:rsid w:val="00F35BB0"/>
    <w:rsid w:val="00F41DB5"/>
    <w:rsid w:val="00F67EB6"/>
    <w:rsid w:val="00F92700"/>
    <w:rsid w:val="00FA56F1"/>
    <w:rsid w:val="00FC211B"/>
    <w:rsid w:val="00FD01D8"/>
    <w:rsid w:val="00FD0D8A"/>
    <w:rsid w:val="04B213C1"/>
    <w:rsid w:val="057E74F5"/>
    <w:rsid w:val="05A131E3"/>
    <w:rsid w:val="0A9F4195"/>
    <w:rsid w:val="0B6D6042"/>
    <w:rsid w:val="0D224E4F"/>
    <w:rsid w:val="101C440E"/>
    <w:rsid w:val="114E06C3"/>
    <w:rsid w:val="11C91AF8"/>
    <w:rsid w:val="15E2762C"/>
    <w:rsid w:val="16660042"/>
    <w:rsid w:val="16CA259A"/>
    <w:rsid w:val="17D80473"/>
    <w:rsid w:val="183028D1"/>
    <w:rsid w:val="18D94D16"/>
    <w:rsid w:val="1C024584"/>
    <w:rsid w:val="1D61352C"/>
    <w:rsid w:val="1E7B061E"/>
    <w:rsid w:val="1F0B7BF4"/>
    <w:rsid w:val="1F14208B"/>
    <w:rsid w:val="207F7B8E"/>
    <w:rsid w:val="21F11323"/>
    <w:rsid w:val="22EA5D72"/>
    <w:rsid w:val="24561911"/>
    <w:rsid w:val="25800FD6"/>
    <w:rsid w:val="26A34BB6"/>
    <w:rsid w:val="2A6428AE"/>
    <w:rsid w:val="2B847C6D"/>
    <w:rsid w:val="2D1C7470"/>
    <w:rsid w:val="2D870D8D"/>
    <w:rsid w:val="2E335B48"/>
    <w:rsid w:val="302C5C1C"/>
    <w:rsid w:val="311A1F18"/>
    <w:rsid w:val="315E1E05"/>
    <w:rsid w:val="319620CE"/>
    <w:rsid w:val="35AA386B"/>
    <w:rsid w:val="39616936"/>
    <w:rsid w:val="3C4D4F50"/>
    <w:rsid w:val="3DFC6C2D"/>
    <w:rsid w:val="3DFE0BF8"/>
    <w:rsid w:val="3F163D1F"/>
    <w:rsid w:val="402C30CE"/>
    <w:rsid w:val="445F194D"/>
    <w:rsid w:val="449F6565"/>
    <w:rsid w:val="45E5269D"/>
    <w:rsid w:val="4E870795"/>
    <w:rsid w:val="4E9764FE"/>
    <w:rsid w:val="4EA8496E"/>
    <w:rsid w:val="503F0BFC"/>
    <w:rsid w:val="50BB2978"/>
    <w:rsid w:val="50EC0D83"/>
    <w:rsid w:val="51905BB3"/>
    <w:rsid w:val="51D57A6A"/>
    <w:rsid w:val="52944C12"/>
    <w:rsid w:val="538C05FC"/>
    <w:rsid w:val="552F7491"/>
    <w:rsid w:val="554763F5"/>
    <w:rsid w:val="56755377"/>
    <w:rsid w:val="56D54068"/>
    <w:rsid w:val="56F02C50"/>
    <w:rsid w:val="589046EA"/>
    <w:rsid w:val="597D4C6F"/>
    <w:rsid w:val="598D4799"/>
    <w:rsid w:val="5A737E20"/>
    <w:rsid w:val="5B5A4166"/>
    <w:rsid w:val="5C0C052C"/>
    <w:rsid w:val="61AA1D5B"/>
    <w:rsid w:val="62053A53"/>
    <w:rsid w:val="64BE25DF"/>
    <w:rsid w:val="677671A1"/>
    <w:rsid w:val="690A736D"/>
    <w:rsid w:val="69586B5E"/>
    <w:rsid w:val="6C044D7B"/>
    <w:rsid w:val="6DE035C6"/>
    <w:rsid w:val="6EAD133E"/>
    <w:rsid w:val="6F7C10CD"/>
    <w:rsid w:val="746C5BB4"/>
    <w:rsid w:val="74FC0CE6"/>
    <w:rsid w:val="759E7FEF"/>
    <w:rsid w:val="76E93A99"/>
    <w:rsid w:val="77316C41"/>
    <w:rsid w:val="77BE6DDB"/>
    <w:rsid w:val="77BF424C"/>
    <w:rsid w:val="77EC376A"/>
    <w:rsid w:val="78FC4816"/>
    <w:rsid w:val="794932DF"/>
    <w:rsid w:val="7E4E00D8"/>
    <w:rsid w:val="7F427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4"/>
    <w:next w:val="1"/>
    <w:link w:val="28"/>
    <w:qFormat/>
    <w:uiPriority w:val="9"/>
    <w:pPr>
      <w:spacing w:before="340" w:after="330" w:line="578" w:lineRule="auto"/>
      <w:outlineLvl w:val="0"/>
    </w:pPr>
    <w:rPr>
      <w:kern w:val="44"/>
      <w:sz w:val="44"/>
      <w:szCs w:val="44"/>
    </w:rPr>
  </w:style>
  <w:style w:type="paragraph" w:styleId="4">
    <w:name w:val="heading 2"/>
    <w:basedOn w:val="1"/>
    <w:next w:val="1"/>
    <w:link w:val="25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link w:val="44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43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9">
    <w:name w:val="heading 9"/>
    <w:basedOn w:val="1"/>
    <w:next w:val="1"/>
    <w:unhideWhenUsed/>
    <w:qFormat/>
    <w:uiPriority w:val="9"/>
    <w:pPr>
      <w:keepNext/>
      <w:keepLines/>
      <w:spacing w:before="240" w:after="64" w:line="317" w:lineRule="auto"/>
      <w:outlineLvl w:val="8"/>
    </w:pPr>
    <w:rPr>
      <w:rFonts w:ascii="Arial" w:hAnsi="Arial" w:eastAsia="黑体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10">
    <w:name w:val="annotation text"/>
    <w:basedOn w:val="1"/>
    <w:semiHidden/>
    <w:unhideWhenUsed/>
    <w:qFormat/>
    <w:uiPriority w:val="99"/>
    <w:pPr>
      <w:jc w:val="left"/>
    </w:pPr>
  </w:style>
  <w:style w:type="paragraph" w:styleId="11">
    <w:name w:val="Body Text"/>
    <w:basedOn w:val="1"/>
    <w:qFormat/>
    <w:uiPriority w:val="1"/>
    <w:pPr>
      <w:spacing w:before="115"/>
      <w:ind w:left="600"/>
    </w:pPr>
    <w:rPr>
      <w:rFonts w:ascii="宋体" w:hAnsi="宋体"/>
      <w:sz w:val="20"/>
      <w:szCs w:val="20"/>
    </w:rPr>
  </w:style>
  <w:style w:type="paragraph" w:styleId="1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itle"/>
    <w:basedOn w:val="1"/>
    <w:next w:val="1"/>
    <w:link w:val="4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8">
    <w:name w:val="Table Grid"/>
    <w:basedOn w:val="17"/>
    <w:qFormat/>
    <w:uiPriority w:val="0"/>
    <w:rPr>
      <w:rFonts w:eastAsia="微软雅黑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页眉 字符"/>
    <w:basedOn w:val="19"/>
    <w:link w:val="14"/>
    <w:qFormat/>
    <w:uiPriority w:val="99"/>
    <w:rPr>
      <w:sz w:val="18"/>
      <w:szCs w:val="18"/>
    </w:rPr>
  </w:style>
  <w:style w:type="character" w:customStyle="1" w:styleId="22">
    <w:name w:val="页脚 字符"/>
    <w:basedOn w:val="19"/>
    <w:link w:val="13"/>
    <w:qFormat/>
    <w:uiPriority w:val="99"/>
    <w:rPr>
      <w:sz w:val="18"/>
      <w:szCs w:val="18"/>
    </w:rPr>
  </w:style>
  <w:style w:type="character" w:customStyle="1" w:styleId="23">
    <w:name w:val="批注框文本 字符"/>
    <w:basedOn w:val="19"/>
    <w:link w:val="12"/>
    <w:semiHidden/>
    <w:qFormat/>
    <w:uiPriority w:val="99"/>
    <w:rPr>
      <w:sz w:val="18"/>
      <w:szCs w:val="18"/>
    </w:rPr>
  </w:style>
  <w:style w:type="character" w:customStyle="1" w:styleId="24">
    <w:name w:val="标题 3 字符"/>
    <w:basedOn w:val="19"/>
    <w:link w:val="5"/>
    <w:qFormat/>
    <w:uiPriority w:val="9"/>
    <w:rPr>
      <w:b/>
      <w:sz w:val="32"/>
    </w:rPr>
  </w:style>
  <w:style w:type="character" w:customStyle="1" w:styleId="25">
    <w:name w:val="标题 2 字符"/>
    <w:basedOn w:val="19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6">
    <w:name w:val="列表段落1"/>
    <w:basedOn w:val="1"/>
    <w:qFormat/>
    <w:uiPriority w:val="34"/>
    <w:pPr>
      <w:ind w:firstLine="420" w:firstLineChars="200"/>
    </w:p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1 字符"/>
    <w:basedOn w:val="19"/>
    <w:link w:val="3"/>
    <w:qFormat/>
    <w:uiPriority w:val="9"/>
    <w:rPr>
      <w:b/>
      <w:bCs/>
      <w:kern w:val="44"/>
      <w:sz w:val="44"/>
      <w:szCs w:val="44"/>
    </w:rPr>
  </w:style>
  <w:style w:type="paragraph" w:customStyle="1" w:styleId="29">
    <w:name w:val="TOC 标题1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0">
    <w:name w:val="图片"/>
    <w:basedOn w:val="1"/>
    <w:qFormat/>
    <w:uiPriority w:val="0"/>
    <w:pPr>
      <w:spacing w:before="50" w:beforeLines="50" w:line="480" w:lineRule="auto"/>
      <w:jc w:val="center"/>
    </w:pPr>
    <w:rPr>
      <w:rFonts w:ascii="Times New Roman" w:hAnsi="Times New Roman" w:cs="Times New Roman"/>
      <w:color w:val="000000"/>
      <w:kern w:val="0"/>
      <w:sz w:val="19"/>
      <w:szCs w:val="19"/>
      <w:lang w:val="zh-CN" w:bidi="zh-CN"/>
    </w:rPr>
  </w:style>
  <w:style w:type="paragraph" w:customStyle="1" w:styleId="31">
    <w:name w:val="样式1"/>
    <w:basedOn w:val="3"/>
    <w:next w:val="1"/>
    <w:qFormat/>
    <w:uiPriority w:val="0"/>
    <w:pPr>
      <w:spacing w:before="100" w:after="90"/>
    </w:pPr>
  </w:style>
  <w:style w:type="paragraph" w:customStyle="1" w:styleId="32">
    <w:name w:val="样式2"/>
    <w:basedOn w:val="3"/>
    <w:next w:val="1"/>
    <w:qFormat/>
    <w:uiPriority w:val="0"/>
    <w:pPr>
      <w:spacing w:before="120" w:after="120" w:line="360" w:lineRule="auto"/>
    </w:pPr>
  </w:style>
  <w:style w:type="paragraph" w:customStyle="1" w:styleId="3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5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6">
    <w:name w:val="Table Paragraph"/>
    <w:basedOn w:val="1"/>
    <w:qFormat/>
    <w:uiPriority w:val="1"/>
  </w:style>
  <w:style w:type="paragraph" w:styleId="37">
    <w:name w:val="No Spacing"/>
    <w:qFormat/>
    <w:uiPriority w:val="1"/>
    <w:pPr>
      <w:adjustRightInd w:val="0"/>
      <w:snapToGrid w:val="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table" w:customStyle="1" w:styleId="38">
    <w:name w:val="网格型1"/>
    <w:basedOn w:val="17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9">
    <w:name w:val="Block Label"/>
    <w:basedOn w:val="16"/>
    <w:next w:val="1"/>
    <w:qFormat/>
    <w:uiPriority w:val="0"/>
    <w:pPr>
      <w:keepNext/>
      <w:keepLines/>
      <w:tabs>
        <w:tab w:val="left" w:pos="360"/>
      </w:tabs>
      <w:spacing w:after="240"/>
      <w:ind w:left="2520" w:hanging="420"/>
      <w:jc w:val="both"/>
      <w:outlineLvl w:val="9"/>
    </w:pPr>
    <w:rPr>
      <w:rFonts w:ascii="Times new Roam" w:hAnsi="Times new Roam" w:cs="Book Antiqua" w:eastAsiaTheme="minorEastAsia"/>
      <w:bCs w:val="0"/>
      <w:color w:val="0063A8"/>
      <w:kern w:val="0"/>
      <w:sz w:val="24"/>
      <w:szCs w:val="26"/>
      <w:u w:val="double"/>
      <w14:numSpacing w14:val="tabular"/>
    </w:rPr>
  </w:style>
  <w:style w:type="paragraph" w:customStyle="1" w:styleId="40">
    <w:name w:val="Step"/>
    <w:basedOn w:val="1"/>
    <w:qFormat/>
    <w:uiPriority w:val="0"/>
    <w:pPr>
      <w:tabs>
        <w:tab w:val="left" w:pos="3420"/>
        <w:tab w:val="left" w:pos="3686"/>
      </w:tabs>
      <w:adjustRightInd w:val="0"/>
      <w:snapToGrid w:val="0"/>
      <w:spacing w:before="160" w:after="160"/>
      <w:ind w:left="1134" w:hanging="283"/>
    </w:pPr>
    <w:rPr>
      <w:kern w:val="0"/>
    </w:rPr>
  </w:style>
  <w:style w:type="character" w:customStyle="1" w:styleId="41">
    <w:name w:val="标题 字符"/>
    <w:basedOn w:val="19"/>
    <w:link w:val="16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table" w:customStyle="1" w:styleId="4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3">
    <w:name w:val="标题 5 字符"/>
    <w:basedOn w:val="19"/>
    <w:link w:val="7"/>
    <w:uiPriority w:val="9"/>
    <w:rPr>
      <w:b/>
      <w:bCs/>
      <w:kern w:val="2"/>
      <w:sz w:val="28"/>
      <w:szCs w:val="28"/>
    </w:rPr>
  </w:style>
  <w:style w:type="character" w:customStyle="1" w:styleId="44">
    <w:name w:val="标题 4 字符"/>
    <w:basedOn w:val="19"/>
    <w:link w:val="6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45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b w:val="0"/>
      <w:bCs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1.png"/><Relationship Id="rId12" Type="http://schemas.openxmlformats.org/officeDocument/2006/relationships/image" Target="media/image10.jpe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80060-F4E9-4DD0-AFA0-A2E37B7990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8</Pages>
  <Words>1983</Words>
  <Characters>2206</Characters>
  <Lines>19</Lines>
  <Paragraphs>5</Paragraphs>
  <TotalTime>0</TotalTime>
  <ScaleCrop>false</ScaleCrop>
  <LinksUpToDate>false</LinksUpToDate>
  <CharactersWithSpaces>2319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2022-11-15T03:05:00Z</dcterms:created>
  <dc:creator>Sky123.Org</dc:creator>
  <cp:lastModifiedBy>南瓜土豆</cp:lastModifiedBy>
  <cp:lastPrinted>2022-11-15T03:28:00Z</cp:lastPrinted>
  <dcterms:modified xsi:type="dcterms:W3CDTF">2022-12-20T08:26:18Z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B56A9F9C4A8A4249A7086ABF7058B32B</vt:lpwstr>
  </property>
</Properties>
</file>