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微软雅黑" w:hAnsi="微软雅黑" w:eastAsia="微软雅黑" w:cs="微软雅黑"/>
          <w:b/>
          <w:bCs/>
          <w:sz w:val="72"/>
          <w:szCs w:val="72"/>
        </w:rPr>
      </w:pPr>
      <w:bookmarkStart w:id="0" w:name="_Hlk34051380"/>
    </w:p>
    <w:p>
      <w:pPr>
        <w:spacing w:line="260" w:lineRule="atLeast"/>
        <w:ind w:firstLine="2161" w:firstLineChars="300"/>
        <w:rPr>
          <w:rFonts w:ascii="微软雅黑" w:hAnsi="微软雅黑" w:eastAsia="微软雅黑" w:cs="微软雅黑"/>
          <w:b/>
          <w:bCs/>
          <w:sz w:val="72"/>
          <w:szCs w:val="72"/>
        </w:rPr>
      </w:pPr>
      <w:r>
        <w:rPr>
          <w:rFonts w:hint="eastAsia" w:ascii="微软雅黑" w:hAnsi="微软雅黑" w:eastAsia="微软雅黑" w:cs="微软雅黑"/>
          <w:b/>
          <w:bCs/>
          <w:sz w:val="72"/>
          <w:szCs w:val="72"/>
        </w:rPr>
        <w:t>L</w:t>
      </w:r>
      <w:r>
        <w:rPr>
          <w:rFonts w:ascii="微软雅黑" w:hAnsi="微软雅黑" w:eastAsia="微软雅黑" w:cs="微软雅黑"/>
          <w:b/>
          <w:bCs/>
          <w:sz w:val="72"/>
          <w:szCs w:val="72"/>
        </w:rPr>
        <w:t>ED</w:t>
      </w:r>
      <w:r>
        <w:rPr>
          <w:rFonts w:hint="eastAsia" w:ascii="微软雅黑" w:hAnsi="微软雅黑" w:eastAsia="微软雅黑" w:cs="微软雅黑"/>
          <w:b/>
          <w:bCs/>
          <w:sz w:val="72"/>
          <w:szCs w:val="72"/>
        </w:rPr>
        <w:t>室内全彩屏</w:t>
      </w:r>
    </w:p>
    <w:p>
      <w:pPr>
        <w:jc w:val="center"/>
        <w:rPr>
          <w:rFonts w:hint="eastAsia" w:ascii="微软雅黑" w:hAnsi="微软雅黑" w:eastAsia="微软雅黑" w:cs="微软雅黑"/>
          <w:b/>
          <w:bCs/>
          <w:sz w:val="88"/>
          <w:szCs w:val="88"/>
        </w:rPr>
      </w:pPr>
      <w:bookmarkStart w:id="10" w:name="_GoBack"/>
      <w:bookmarkEnd w:id="10"/>
      <w:r>
        <w:rPr>
          <w:rFonts w:ascii="微软雅黑" w:hAnsi="微软雅黑" w:eastAsia="微软雅黑"/>
          <w:color w:val="1E1916"/>
          <w:w w:val="110"/>
          <w:sz w:val="36"/>
          <w:szCs w:val="36"/>
        </w:rPr>
        <w:t>P-2.5</w:t>
      </w:r>
    </w:p>
    <w:p>
      <w:pPr>
        <w:jc w:val="center"/>
        <w:rPr>
          <w:rFonts w:ascii="微软雅黑" w:hAnsi="微软雅黑" w:eastAsia="微软雅黑" w:cs="微软雅黑"/>
          <w:b/>
          <w:bCs/>
          <w:sz w:val="88"/>
          <w:szCs w:val="88"/>
        </w:rPr>
      </w:pPr>
      <w:r>
        <w:rPr>
          <w:rFonts w:hint="eastAsia" w:ascii="微软雅黑" w:hAnsi="微软雅黑" w:eastAsia="微软雅黑" w:cs="微软雅黑"/>
          <w:b/>
          <w:bCs/>
          <w:sz w:val="88"/>
          <w:szCs w:val="88"/>
        </w:rPr>
        <w:t>用</w:t>
      </w:r>
    </w:p>
    <w:p>
      <w:pPr>
        <w:jc w:val="center"/>
        <w:rPr>
          <w:rFonts w:ascii="微软雅黑" w:hAnsi="微软雅黑" w:eastAsia="微软雅黑" w:cs="微软雅黑"/>
          <w:b/>
          <w:bCs/>
          <w:sz w:val="88"/>
          <w:szCs w:val="88"/>
        </w:rPr>
      </w:pPr>
      <w:r>
        <w:rPr>
          <w:rFonts w:hint="eastAsia" w:ascii="微软雅黑" w:hAnsi="微软雅黑" w:eastAsia="微软雅黑" w:cs="微软雅黑"/>
          <w:b/>
          <w:bCs/>
          <w:sz w:val="88"/>
          <w:szCs w:val="88"/>
        </w:rPr>
        <w:t>户</w:t>
      </w:r>
    </w:p>
    <w:p>
      <w:pPr>
        <w:jc w:val="center"/>
        <w:rPr>
          <w:rFonts w:ascii="微软雅黑" w:hAnsi="微软雅黑" w:eastAsia="微软雅黑" w:cs="微软雅黑"/>
          <w:b/>
          <w:bCs/>
          <w:sz w:val="88"/>
          <w:szCs w:val="88"/>
        </w:rPr>
      </w:pPr>
      <w:r>
        <w:rPr>
          <w:rFonts w:hint="eastAsia" w:ascii="微软雅黑" w:hAnsi="微软雅黑" w:eastAsia="微软雅黑" w:cs="微软雅黑"/>
          <w:b/>
          <w:bCs/>
          <w:sz w:val="88"/>
          <w:szCs w:val="88"/>
        </w:rPr>
        <w:t>手</w:t>
      </w:r>
    </w:p>
    <w:p>
      <w:pPr>
        <w:pStyle w:val="2"/>
        <w:jc w:val="center"/>
        <w:rPr>
          <w:rFonts w:hint="eastAsia" w:ascii="微软雅黑" w:hAnsi="微软雅黑" w:eastAsia="微软雅黑"/>
          <w:b/>
          <w:bCs/>
          <w:sz w:val="88"/>
          <w:szCs w:val="88"/>
        </w:rPr>
      </w:pPr>
      <w:r>
        <w:rPr>
          <w:rFonts w:hint="eastAsia" w:ascii="微软雅黑" w:hAnsi="微软雅黑" w:eastAsia="微软雅黑"/>
          <w:b/>
          <w:bCs/>
          <w:sz w:val="88"/>
          <w:szCs w:val="88"/>
        </w:rPr>
        <w:t>册</w:t>
      </w:r>
    </w:p>
    <w:p>
      <w:pPr>
        <w:pStyle w:val="2"/>
      </w:pPr>
    </w:p>
    <w:bookmarkEnd w:id="0"/>
    <w:p>
      <w:pPr>
        <w:spacing w:line="360" w:lineRule="auto"/>
        <w:jc w:val="center"/>
        <w:rPr>
          <w:rFonts w:ascii="微软雅黑" w:hAnsi="微软雅黑" w:eastAsia="微软雅黑" w:cs="微软雅黑"/>
          <w:sz w:val="36"/>
          <w:szCs w:val="36"/>
          <w:vertAlign w:val="subscript"/>
        </w:rPr>
      </w:pPr>
    </w:p>
    <w:p>
      <w:pPr>
        <w:spacing w:line="360" w:lineRule="auto"/>
        <w:ind w:firstLine="4680" w:firstLineChars="1300"/>
        <w:jc w:val="both"/>
        <w:rPr>
          <w:rFonts w:ascii="微软雅黑" w:hAnsi="微软雅黑" w:eastAsia="微软雅黑" w:cs="微软雅黑"/>
          <w:sz w:val="36"/>
          <w:szCs w:val="36"/>
          <w:vertAlign w:val="subscript"/>
        </w:rPr>
      </w:pPr>
      <w:r>
        <w:rPr>
          <w:rFonts w:hint="eastAsia" w:ascii="微软雅黑" w:hAnsi="微软雅黑" w:eastAsia="微软雅黑" w:cs="微软雅黑"/>
          <w:sz w:val="36"/>
          <w:szCs w:val="36"/>
          <w:vertAlign w:val="subscript"/>
        </w:rPr>
        <w:t>V</w:t>
      </w:r>
      <w:r>
        <w:rPr>
          <w:rFonts w:ascii="微软雅黑" w:hAnsi="微软雅黑" w:eastAsia="微软雅黑" w:cs="微软雅黑"/>
          <w:sz w:val="36"/>
          <w:szCs w:val="36"/>
          <w:vertAlign w:val="subscript"/>
        </w:rPr>
        <w:t>1.0</w:t>
      </w:r>
    </w:p>
    <w:p>
      <w:pPr>
        <w:pStyle w:val="2"/>
      </w:pPr>
    </w:p>
    <w:p>
      <w:pPr>
        <w:tabs>
          <w:tab w:val="left" w:pos="2985"/>
          <w:tab w:val="center" w:pos="5201"/>
        </w:tabs>
        <w:spacing w:line="260" w:lineRule="atLeast"/>
        <w:jc w:val="both"/>
        <w:rPr>
          <w:rFonts w:hint="eastAsia" w:ascii="微软雅黑" w:hAnsi="微软雅黑" w:eastAsia="微软雅黑" w:cs="微软雅黑"/>
          <w:sz w:val="36"/>
          <w:szCs w:val="36"/>
        </w:rPr>
      </w:pPr>
    </w:p>
    <w:p>
      <w:pPr>
        <w:tabs>
          <w:tab w:val="left" w:pos="2985"/>
          <w:tab w:val="center" w:pos="5201"/>
        </w:tabs>
        <w:spacing w:line="260" w:lineRule="atLeast"/>
        <w:jc w:val="center"/>
        <w:rPr>
          <w:rFonts w:hint="eastAsia" w:ascii="微软雅黑" w:hAnsi="微软雅黑" w:eastAsia="微软雅黑" w:cs="微软雅黑"/>
          <w:sz w:val="36"/>
          <w:szCs w:val="36"/>
        </w:rPr>
        <w:sectPr>
          <w:headerReference r:id="rId3" w:type="default"/>
          <w:footerReference r:id="rId4" w:type="default"/>
          <w:pgSz w:w="11906" w:h="16838"/>
          <w:pgMar w:top="1440" w:right="991" w:bottom="1440" w:left="993" w:header="454" w:footer="907" w:gutter="0"/>
          <w:cols w:space="425" w:num="1"/>
          <w:docGrid w:type="lines" w:linePitch="312" w:charSpace="0"/>
        </w:sectPr>
      </w:pPr>
      <w:r>
        <w:rPr>
          <w:rFonts w:hint="eastAsia" w:ascii="微软雅黑" w:hAnsi="微软雅黑" w:eastAsia="微软雅黑" w:cs="微软雅黑"/>
          <w:sz w:val="36"/>
          <w:szCs w:val="36"/>
        </w:rPr>
        <w:t>上海大因多媒体技术有限公司</w:t>
      </w:r>
    </w:p>
    <w:p>
      <w:pPr>
        <w:spacing w:line="260" w:lineRule="atLeast"/>
        <w:ind w:firstLine="880" w:firstLineChars="200"/>
        <w:jc w:val="left"/>
        <w:rPr>
          <w:rFonts w:ascii="微软雅黑" w:hAnsi="微软雅黑" w:eastAsia="微软雅黑" w:cs="微软雅黑"/>
          <w:sz w:val="44"/>
          <w:szCs w:val="44"/>
        </w:rPr>
      </w:pPr>
      <w:r>
        <w:rPr>
          <w:rFonts w:ascii="微软雅黑" w:hAnsi="微软雅黑" w:eastAsia="微软雅黑" w:cs="微软雅黑"/>
          <w:sz w:val="44"/>
          <w:szCs w:val="44"/>
        </w:rPr>
        <w:t>安全须知</w:t>
      </w:r>
    </w:p>
    <w:p>
      <w:pPr>
        <w:spacing w:line="260" w:lineRule="atLeast"/>
        <w:ind w:firstLine="480" w:firstLineChars="200"/>
        <w:jc w:val="left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sz w:val="24"/>
          <w:szCs w:val="24"/>
        </w:rPr>
        <w:t>请先阅读所有说明，然后再尝试打开包装，安装或在连接电源之前，请操作本设备。打开包装并安装设备时，请记住以下几点：</w:t>
      </w:r>
    </w:p>
    <w:p>
      <w:pPr>
        <w:spacing w:line="260" w:lineRule="atLeast"/>
        <w:ind w:firstLine="480" w:firstLineChars="200"/>
        <w:jc w:val="left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Arial" w:hAnsi="Arial" w:eastAsia="微软雅黑" w:cs="Arial"/>
          <w:sz w:val="24"/>
          <w:szCs w:val="24"/>
        </w:rPr>
        <w:t>＊</w:t>
      </w:r>
      <w:r>
        <w:rPr>
          <w:rFonts w:ascii="微软雅黑" w:hAnsi="微软雅黑" w:eastAsia="微软雅黑" w:cs="微软雅黑"/>
          <w:sz w:val="24"/>
          <w:szCs w:val="24"/>
        </w:rPr>
        <w:t>始终遵循基本的安全预防措施，以减少火灾风险，电击和人身伤害。</w:t>
      </w:r>
    </w:p>
    <w:p>
      <w:pPr>
        <w:spacing w:line="260" w:lineRule="atLeast"/>
        <w:ind w:firstLine="480" w:firstLineChars="200"/>
        <w:jc w:val="left"/>
        <w:rPr>
          <w:rFonts w:ascii="Arial" w:hAnsi="Arial" w:eastAsia="微软雅黑" w:cs="Arial"/>
          <w:sz w:val="24"/>
          <w:szCs w:val="24"/>
        </w:rPr>
      </w:pPr>
      <w:r>
        <w:rPr>
          <w:rFonts w:ascii="Arial" w:hAnsi="Arial" w:eastAsia="微软雅黑" w:cs="Arial"/>
          <w:sz w:val="24"/>
          <w:szCs w:val="24"/>
        </w:rPr>
        <w:t>＊为避免起火或电击危险，请勿将本机淋雨，潮湿或将本产品安装在靠近水的地方。</w:t>
      </w:r>
    </w:p>
    <w:p>
      <w:pPr>
        <w:spacing w:line="260" w:lineRule="atLeast"/>
        <w:ind w:firstLine="480" w:firstLineChars="200"/>
        <w:jc w:val="left"/>
        <w:rPr>
          <w:rFonts w:ascii="Arial" w:hAnsi="Arial" w:eastAsia="微软雅黑" w:cs="Arial"/>
          <w:sz w:val="24"/>
          <w:szCs w:val="24"/>
        </w:rPr>
      </w:pPr>
      <w:r>
        <w:rPr>
          <w:rFonts w:ascii="Arial" w:hAnsi="Arial" w:eastAsia="微软雅黑" w:cs="Arial"/>
          <w:sz w:val="24"/>
          <w:szCs w:val="24"/>
        </w:rPr>
        <w:t>＊切勿将任何液体溅到本产品之上或之中</w:t>
      </w:r>
      <w:r>
        <w:rPr>
          <w:rFonts w:hint="eastAsia" w:ascii="Arial" w:hAnsi="Arial" w:eastAsia="微软雅黑" w:cs="Arial"/>
          <w:sz w:val="24"/>
          <w:szCs w:val="24"/>
        </w:rPr>
        <w:t>。</w:t>
      </w:r>
    </w:p>
    <w:p>
      <w:pPr>
        <w:spacing w:line="260" w:lineRule="atLeast"/>
        <w:ind w:firstLine="480" w:firstLineChars="200"/>
        <w:jc w:val="left"/>
        <w:rPr>
          <w:rFonts w:ascii="Arial" w:hAnsi="Arial" w:eastAsia="微软雅黑" w:cs="Arial"/>
          <w:sz w:val="24"/>
          <w:szCs w:val="24"/>
        </w:rPr>
      </w:pPr>
      <w:r>
        <w:rPr>
          <w:rFonts w:ascii="Arial" w:hAnsi="Arial" w:eastAsia="微软雅黑" w:cs="Arial"/>
          <w:sz w:val="24"/>
          <w:szCs w:val="24"/>
        </w:rPr>
        <w:t>＊切勿通过任何方式将任何物体塞入本产品设备上的开口或空槽，因为可能会损坏单元内部零件。</w:t>
      </w:r>
    </w:p>
    <w:p>
      <w:pPr>
        <w:spacing w:line="260" w:lineRule="atLeast"/>
        <w:ind w:firstLine="480" w:firstLineChars="200"/>
        <w:jc w:val="left"/>
        <w:rPr>
          <w:rFonts w:ascii="Arial" w:hAnsi="Arial" w:eastAsia="微软雅黑" w:cs="Arial"/>
          <w:sz w:val="24"/>
          <w:szCs w:val="24"/>
        </w:rPr>
      </w:pPr>
      <w:r>
        <w:rPr>
          <w:rFonts w:ascii="Arial" w:hAnsi="Arial" w:eastAsia="微软雅黑" w:cs="Arial"/>
          <w:sz w:val="24"/>
          <w:szCs w:val="24"/>
        </w:rPr>
        <w:t>＊请勿将电源线连接到建筑物表面。</w:t>
      </w:r>
    </w:p>
    <w:p>
      <w:pPr>
        <w:spacing w:line="260" w:lineRule="atLeast"/>
        <w:ind w:firstLine="480" w:firstLineChars="200"/>
        <w:jc w:val="left"/>
        <w:rPr>
          <w:rFonts w:ascii="Arial" w:hAnsi="Arial" w:eastAsia="微软雅黑" w:cs="Arial"/>
          <w:sz w:val="24"/>
          <w:szCs w:val="24"/>
        </w:rPr>
      </w:pPr>
      <w:r>
        <w:rPr>
          <w:rFonts w:ascii="Arial" w:hAnsi="Arial" w:eastAsia="微软雅黑" w:cs="Arial"/>
          <w:sz w:val="24"/>
          <w:szCs w:val="24"/>
        </w:rPr>
        <w:t>＊仅使用随附的电源设备。 如果电源已损坏请勿使用。</w:t>
      </w:r>
    </w:p>
    <w:p>
      <w:pPr>
        <w:spacing w:line="260" w:lineRule="atLeast"/>
        <w:ind w:firstLine="480" w:firstLineChars="200"/>
        <w:jc w:val="left"/>
        <w:rPr>
          <w:rFonts w:ascii="Arial" w:hAnsi="Arial" w:eastAsia="微软雅黑" w:cs="Arial"/>
          <w:sz w:val="24"/>
          <w:szCs w:val="24"/>
        </w:rPr>
      </w:pPr>
      <w:r>
        <w:rPr>
          <w:rFonts w:ascii="Arial" w:hAnsi="Arial" w:eastAsia="微软雅黑" w:cs="Arial"/>
          <w:sz w:val="24"/>
          <w:szCs w:val="24"/>
        </w:rPr>
        <w:t>＊请勿在电源线上放置任何物品在或放置</w:t>
      </w:r>
      <w:r>
        <w:rPr>
          <w:rFonts w:hint="eastAsia" w:ascii="Arial" w:hAnsi="Arial" w:eastAsia="微软雅黑" w:cs="Arial"/>
          <w:sz w:val="24"/>
          <w:szCs w:val="24"/>
        </w:rPr>
        <w:t>在</w:t>
      </w:r>
      <w:r>
        <w:rPr>
          <w:rFonts w:ascii="Arial" w:hAnsi="Arial" w:eastAsia="微软雅黑" w:cs="Arial"/>
          <w:sz w:val="24"/>
          <w:szCs w:val="24"/>
        </w:rPr>
        <w:t>人</w:t>
      </w:r>
      <w:r>
        <w:rPr>
          <w:rFonts w:hint="eastAsia" w:ascii="Arial" w:hAnsi="Arial" w:eastAsia="微软雅黑" w:cs="Arial"/>
          <w:sz w:val="24"/>
          <w:szCs w:val="24"/>
        </w:rPr>
        <w:t>行走的通道上</w:t>
      </w:r>
      <w:r>
        <w:rPr>
          <w:rFonts w:ascii="Arial" w:hAnsi="Arial" w:eastAsia="微软雅黑" w:cs="Arial"/>
          <w:sz w:val="24"/>
          <w:szCs w:val="24"/>
        </w:rPr>
        <w:t>。</w:t>
      </w:r>
    </w:p>
    <w:p>
      <w:pPr>
        <w:spacing w:line="260" w:lineRule="atLeast"/>
        <w:ind w:firstLine="480" w:firstLineChars="200"/>
        <w:jc w:val="left"/>
        <w:rPr>
          <w:rFonts w:ascii="微软雅黑" w:hAnsi="微软雅黑" w:eastAsia="微软雅黑" w:cs="微软雅黑"/>
          <w:sz w:val="48"/>
          <w:vertAlign w:val="subscript"/>
        </w:rPr>
        <w:sectPr>
          <w:headerReference r:id="rId5" w:type="default"/>
          <w:footerReference r:id="rId6" w:type="default"/>
          <w:pgSz w:w="11906" w:h="16838"/>
          <w:pgMar w:top="1440" w:right="991" w:bottom="1440" w:left="993" w:header="454" w:footer="907" w:gutter="0"/>
          <w:cols w:space="425" w:num="1"/>
          <w:docGrid w:type="lines" w:linePitch="312" w:charSpace="0"/>
        </w:sectPr>
      </w:pPr>
      <w:r>
        <w:rPr>
          <w:rFonts w:ascii="Arial" w:hAnsi="Arial" w:eastAsia="微软雅黑" w:cs="Arial"/>
          <w:sz w:val="24"/>
          <w:szCs w:val="24"/>
        </w:rPr>
        <w:t>＊为防止设备过热，请勿</w:t>
      </w:r>
      <w:r>
        <w:rPr>
          <w:rFonts w:hint="eastAsia" w:ascii="Arial" w:hAnsi="Arial" w:eastAsia="微软雅黑" w:cs="Arial"/>
          <w:sz w:val="24"/>
          <w:szCs w:val="24"/>
        </w:rPr>
        <w:t>将所有设备堆叠在一起</w:t>
      </w:r>
      <w:r>
        <w:rPr>
          <w:rFonts w:ascii="Arial" w:hAnsi="Arial" w:eastAsia="微软雅黑" w:cs="Arial"/>
          <w:sz w:val="24"/>
          <w:szCs w:val="24"/>
        </w:rPr>
        <w:t>或提供通风并允许足够的空间使空气在设备周围流通。</w:t>
      </w:r>
    </w:p>
    <w:p>
      <w:pPr>
        <w:pStyle w:val="2"/>
      </w:pPr>
    </w:p>
    <w:sdt>
      <w:sdtPr>
        <w:rPr>
          <w:lang w:val="zh-CN"/>
        </w:rPr>
        <w:id w:val="505026310"/>
        <w:docPartObj>
          <w:docPartGallery w:val="Table of Contents"/>
          <w:docPartUnique/>
        </w:docPartObj>
      </w:sdtPr>
      <w:sdtEndPr>
        <w:rPr>
          <w:rFonts w:asciiTheme="minorHAnsi" w:hAnsiTheme="minorHAnsi" w:eastAsiaTheme="minorEastAsia" w:cstheme="minorBidi"/>
          <w:b/>
          <w:bCs/>
          <w:color w:val="auto"/>
          <w:kern w:val="2"/>
          <w:sz w:val="21"/>
          <w:szCs w:val="22"/>
          <w:lang w:val="zh-CN"/>
        </w:rPr>
      </w:sdtEndPr>
      <w:sdtContent>
        <w:p>
          <w:pPr>
            <w:pStyle w:val="45"/>
            <w:jc w:val="center"/>
            <w:rPr>
              <w:rFonts w:ascii="微软雅黑" w:hAnsi="微软雅黑" w:eastAsia="微软雅黑"/>
              <w:color w:val="auto"/>
            </w:rPr>
          </w:pPr>
          <w:r>
            <w:rPr>
              <w:rFonts w:ascii="微软雅黑" w:hAnsi="微软雅黑" w:eastAsia="微软雅黑"/>
              <w:color w:val="auto"/>
              <w:lang w:val="zh-CN"/>
            </w:rPr>
            <w:t>目录</w:t>
          </w:r>
        </w:p>
        <w:p>
          <w:pPr>
            <w:pStyle w:val="15"/>
            <w:tabs>
              <w:tab w:val="right" w:leader="dot" w:pos="9922"/>
            </w:tabs>
          </w:pPr>
          <w:r>
            <w:rPr>
              <w:rFonts w:ascii="微软雅黑" w:hAnsi="微软雅黑" w:eastAsia="微软雅黑"/>
            </w:rPr>
            <w:fldChar w:fldCharType="begin"/>
          </w:r>
          <w:r>
            <w:rPr>
              <w:rFonts w:ascii="微软雅黑" w:hAnsi="微软雅黑" w:eastAsia="微软雅黑"/>
            </w:rPr>
            <w:instrText xml:space="preserve"> TOC \o "1-3" \h \z \u </w:instrText>
          </w:r>
          <w:r>
            <w:rPr>
              <w:rFonts w:ascii="微软雅黑" w:hAnsi="微软雅黑" w:eastAsia="微软雅黑"/>
            </w:rPr>
            <w:fldChar w:fldCharType="separate"/>
          </w:r>
          <w:r>
            <w:rPr>
              <w:rFonts w:ascii="微软雅黑" w:hAnsi="微软雅黑" w:eastAsia="微软雅黑"/>
            </w:rPr>
            <w:fldChar w:fldCharType="begin"/>
          </w:r>
          <w:r>
            <w:rPr>
              <w:rFonts w:ascii="微软雅黑" w:hAnsi="微软雅黑" w:eastAsia="微软雅黑"/>
            </w:rPr>
            <w:instrText xml:space="preserve"> HYPERLINK \l _Toc12625 </w:instrText>
          </w:r>
          <w:r>
            <w:rPr>
              <w:rFonts w:ascii="微软雅黑" w:hAnsi="微软雅黑" w:eastAsia="微软雅黑"/>
            </w:rPr>
            <w:fldChar w:fldCharType="separate"/>
          </w:r>
          <w:r>
            <w:rPr>
              <w:rFonts w:hint="default" w:ascii="微软雅黑" w:hAnsi="微软雅黑" w:eastAsia="微软雅黑" w:cs="微软雅黑"/>
              <w:bCs/>
              <w:szCs w:val="36"/>
            </w:rPr>
            <w:t xml:space="preserve">一、 </w:t>
          </w:r>
          <w:r>
            <w:rPr>
              <w:rFonts w:hint="eastAsia" w:ascii="微软雅黑" w:hAnsi="微软雅黑" w:eastAsia="微软雅黑" w:cs="微软雅黑"/>
              <w:bCs/>
              <w:szCs w:val="36"/>
            </w:rPr>
            <w:t>适用范围</w:t>
          </w:r>
          <w:r>
            <w:tab/>
          </w:r>
          <w:r>
            <w:fldChar w:fldCharType="begin"/>
          </w:r>
          <w:r>
            <w:instrText xml:space="preserve"> PAGEREF _Toc12625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ascii="微软雅黑" w:hAnsi="微软雅黑" w:eastAsia="微软雅黑"/>
            </w:rPr>
            <w:fldChar w:fldCharType="end"/>
          </w:r>
        </w:p>
        <w:p>
          <w:pPr>
            <w:pStyle w:val="15"/>
            <w:tabs>
              <w:tab w:val="right" w:leader="dot" w:pos="9922"/>
            </w:tabs>
          </w:pPr>
          <w:r>
            <w:rPr>
              <w:rFonts w:ascii="微软雅黑" w:hAnsi="微软雅黑" w:eastAsia="微软雅黑"/>
              <w:bCs/>
              <w:lang w:val="zh-CN"/>
            </w:rPr>
            <w:fldChar w:fldCharType="begin"/>
          </w:r>
          <w:r>
            <w:rPr>
              <w:rFonts w:ascii="微软雅黑" w:hAnsi="微软雅黑" w:eastAsia="微软雅黑"/>
              <w:bCs/>
              <w:lang w:val="zh-CN"/>
            </w:rPr>
            <w:instrText xml:space="preserve"> HYPERLINK \l _Toc27916 </w:instrText>
          </w:r>
          <w:r>
            <w:rPr>
              <w:rFonts w:ascii="微软雅黑" w:hAnsi="微软雅黑" w:eastAsia="微软雅黑"/>
              <w:bCs/>
              <w:lang w:val="zh-CN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Cs w:val="36"/>
            </w:rPr>
            <w:t>二、注意事项</w:t>
          </w:r>
          <w:r>
            <w:tab/>
          </w:r>
          <w:r>
            <w:fldChar w:fldCharType="begin"/>
          </w:r>
          <w:r>
            <w:instrText xml:space="preserve"> PAGEREF _Toc27916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ascii="微软雅黑" w:hAnsi="微软雅黑" w:eastAsia="微软雅黑"/>
              <w:bCs/>
              <w:lang w:val="zh-CN"/>
            </w:rPr>
            <w:fldChar w:fldCharType="end"/>
          </w:r>
        </w:p>
        <w:p>
          <w:pPr>
            <w:pStyle w:val="15"/>
            <w:tabs>
              <w:tab w:val="right" w:leader="dot" w:pos="9922"/>
            </w:tabs>
          </w:pPr>
          <w:r>
            <w:rPr>
              <w:rFonts w:ascii="微软雅黑" w:hAnsi="微软雅黑" w:eastAsia="微软雅黑"/>
              <w:bCs/>
              <w:lang w:val="zh-CN"/>
            </w:rPr>
            <w:fldChar w:fldCharType="begin"/>
          </w:r>
          <w:r>
            <w:rPr>
              <w:rFonts w:ascii="微软雅黑" w:hAnsi="微软雅黑" w:eastAsia="微软雅黑"/>
              <w:bCs/>
              <w:lang w:val="zh-CN"/>
            </w:rPr>
            <w:instrText xml:space="preserve"> HYPERLINK \l _Toc24293 </w:instrText>
          </w:r>
          <w:r>
            <w:rPr>
              <w:rFonts w:ascii="微软雅黑" w:hAnsi="微软雅黑" w:eastAsia="微软雅黑"/>
              <w:bCs/>
              <w:lang w:val="zh-CN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Cs w:val="36"/>
            </w:rPr>
            <w:t>三、产品说明</w:t>
          </w:r>
          <w:r>
            <w:tab/>
          </w:r>
          <w:r>
            <w:fldChar w:fldCharType="begin"/>
          </w:r>
          <w:r>
            <w:instrText xml:space="preserve"> PAGEREF _Toc24293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rFonts w:ascii="微软雅黑" w:hAnsi="微软雅黑" w:eastAsia="微软雅黑"/>
              <w:bCs/>
              <w:lang w:val="zh-CN"/>
            </w:rPr>
            <w:fldChar w:fldCharType="end"/>
          </w:r>
        </w:p>
        <w:p>
          <w:pPr>
            <w:pStyle w:val="15"/>
            <w:tabs>
              <w:tab w:val="right" w:leader="dot" w:pos="9922"/>
            </w:tabs>
          </w:pPr>
          <w:r>
            <w:rPr>
              <w:rFonts w:ascii="微软雅黑" w:hAnsi="微软雅黑" w:eastAsia="微软雅黑"/>
              <w:bCs/>
              <w:lang w:val="zh-CN"/>
            </w:rPr>
            <w:fldChar w:fldCharType="begin"/>
          </w:r>
          <w:r>
            <w:rPr>
              <w:rFonts w:ascii="微软雅黑" w:hAnsi="微软雅黑" w:eastAsia="微软雅黑"/>
              <w:bCs/>
              <w:lang w:val="zh-CN"/>
            </w:rPr>
            <w:instrText xml:space="preserve"> HYPERLINK \l _Toc23658 </w:instrText>
          </w:r>
          <w:r>
            <w:rPr>
              <w:rFonts w:ascii="微软雅黑" w:hAnsi="微软雅黑" w:eastAsia="微软雅黑"/>
              <w:bCs/>
              <w:lang w:val="zh-CN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Cs w:val="36"/>
            </w:rPr>
            <w:t>四、产品技术要求</w:t>
          </w:r>
          <w:r>
            <w:tab/>
          </w:r>
          <w:r>
            <w:fldChar w:fldCharType="begin"/>
          </w:r>
          <w:r>
            <w:instrText xml:space="preserve"> PAGEREF _Toc23658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rFonts w:ascii="微软雅黑" w:hAnsi="微软雅黑" w:eastAsia="微软雅黑"/>
              <w:bCs/>
              <w:lang w:val="zh-CN"/>
            </w:rPr>
            <w:fldChar w:fldCharType="end"/>
          </w:r>
        </w:p>
        <w:p>
          <w:pPr>
            <w:pStyle w:val="15"/>
            <w:tabs>
              <w:tab w:val="right" w:leader="dot" w:pos="9922"/>
            </w:tabs>
          </w:pPr>
          <w:r>
            <w:rPr>
              <w:rFonts w:ascii="微软雅黑" w:hAnsi="微软雅黑" w:eastAsia="微软雅黑"/>
              <w:bCs/>
              <w:lang w:val="zh-CN"/>
            </w:rPr>
            <w:fldChar w:fldCharType="begin"/>
          </w:r>
          <w:r>
            <w:rPr>
              <w:rFonts w:ascii="微软雅黑" w:hAnsi="微软雅黑" w:eastAsia="微软雅黑"/>
              <w:bCs/>
              <w:lang w:val="zh-CN"/>
            </w:rPr>
            <w:instrText xml:space="preserve"> HYPERLINK \l _Toc25629 </w:instrText>
          </w:r>
          <w:r>
            <w:rPr>
              <w:rFonts w:ascii="微软雅黑" w:hAnsi="微软雅黑" w:eastAsia="微软雅黑"/>
              <w:bCs/>
              <w:lang w:val="zh-CN"/>
            </w:rPr>
            <w:fldChar w:fldCharType="separate"/>
          </w:r>
          <w:r>
            <w:rPr>
              <w:rFonts w:hint="default" w:ascii="微软雅黑" w:hAnsi="微软雅黑" w:eastAsia="微软雅黑"/>
              <w:szCs w:val="36"/>
            </w:rPr>
            <w:t xml:space="preserve">五、 </w:t>
          </w:r>
          <w:r>
            <w:rPr>
              <w:rFonts w:hint="eastAsia" w:ascii="微软雅黑" w:hAnsi="微软雅黑" w:eastAsia="微软雅黑"/>
              <w:szCs w:val="36"/>
            </w:rPr>
            <w:t>单元板信号接口定义</w:t>
          </w:r>
          <w:r>
            <w:tab/>
          </w:r>
          <w:r>
            <w:fldChar w:fldCharType="begin"/>
          </w:r>
          <w:r>
            <w:instrText xml:space="preserve"> PAGEREF _Toc25629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rPr>
              <w:rFonts w:ascii="微软雅黑" w:hAnsi="微软雅黑" w:eastAsia="微软雅黑"/>
              <w:bCs/>
              <w:lang w:val="zh-CN"/>
            </w:rPr>
            <w:fldChar w:fldCharType="end"/>
          </w:r>
        </w:p>
        <w:p>
          <w:pPr>
            <w:pStyle w:val="15"/>
            <w:tabs>
              <w:tab w:val="right" w:leader="dot" w:pos="9922"/>
            </w:tabs>
          </w:pPr>
          <w:r>
            <w:rPr>
              <w:rFonts w:ascii="微软雅黑" w:hAnsi="微软雅黑" w:eastAsia="微软雅黑"/>
              <w:bCs/>
              <w:lang w:val="zh-CN"/>
            </w:rPr>
            <w:fldChar w:fldCharType="begin"/>
          </w:r>
          <w:r>
            <w:rPr>
              <w:rFonts w:ascii="微软雅黑" w:hAnsi="微软雅黑" w:eastAsia="微软雅黑"/>
              <w:bCs/>
              <w:lang w:val="zh-CN"/>
            </w:rPr>
            <w:instrText xml:space="preserve"> HYPERLINK \l _Toc8178 </w:instrText>
          </w:r>
          <w:r>
            <w:rPr>
              <w:rFonts w:ascii="微软雅黑" w:hAnsi="微软雅黑" w:eastAsia="微软雅黑"/>
              <w:bCs/>
              <w:lang w:val="zh-CN"/>
            </w:rPr>
            <w:fldChar w:fldCharType="separate"/>
          </w:r>
          <w:r>
            <w:rPr>
              <w:rFonts w:hint="eastAsia" w:ascii="微软雅黑" w:hAnsi="微软雅黑" w:eastAsia="微软雅黑"/>
              <w:szCs w:val="36"/>
              <w:highlight w:val="none"/>
            </w:rPr>
            <w:t>六、</w:t>
          </w:r>
          <w:r>
            <w:rPr>
              <w:rFonts w:hint="eastAsia" w:ascii="微软雅黑" w:hAnsi="微软雅黑" w:eastAsia="微软雅黑"/>
              <w:szCs w:val="36"/>
            </w:rPr>
            <w:t>单元板安装孔位图</w:t>
          </w:r>
          <w:r>
            <w:tab/>
          </w:r>
          <w:r>
            <w:fldChar w:fldCharType="begin"/>
          </w:r>
          <w:r>
            <w:instrText xml:space="preserve"> PAGEREF _Toc8178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rPr>
              <w:rFonts w:ascii="微软雅黑" w:hAnsi="微软雅黑" w:eastAsia="微软雅黑"/>
              <w:bCs/>
              <w:lang w:val="zh-CN"/>
            </w:rPr>
            <w:fldChar w:fldCharType="end"/>
          </w:r>
        </w:p>
        <w:p>
          <w:pPr>
            <w:pStyle w:val="15"/>
            <w:tabs>
              <w:tab w:val="right" w:leader="dot" w:pos="9922"/>
            </w:tabs>
          </w:pPr>
          <w:r>
            <w:rPr>
              <w:rFonts w:ascii="微软雅黑" w:hAnsi="微软雅黑" w:eastAsia="微软雅黑"/>
              <w:bCs/>
              <w:lang w:val="zh-CN"/>
            </w:rPr>
            <w:fldChar w:fldCharType="begin"/>
          </w:r>
          <w:r>
            <w:rPr>
              <w:rFonts w:ascii="微软雅黑" w:hAnsi="微软雅黑" w:eastAsia="微软雅黑"/>
              <w:bCs/>
              <w:lang w:val="zh-CN"/>
            </w:rPr>
            <w:instrText xml:space="preserve"> HYPERLINK \l _Toc14493 </w:instrText>
          </w:r>
          <w:r>
            <w:rPr>
              <w:rFonts w:ascii="微软雅黑" w:hAnsi="微软雅黑" w:eastAsia="微软雅黑"/>
              <w:bCs/>
              <w:lang w:val="zh-CN"/>
            </w:rPr>
            <w:fldChar w:fldCharType="separate"/>
          </w:r>
          <w:r>
            <w:rPr>
              <w:rFonts w:hint="eastAsia" w:ascii="微软雅黑" w:hAnsi="微软雅黑" w:eastAsia="微软雅黑"/>
              <w:szCs w:val="36"/>
            </w:rPr>
            <w:t>七、安装指导</w:t>
          </w:r>
          <w:r>
            <w:tab/>
          </w:r>
          <w:r>
            <w:fldChar w:fldCharType="begin"/>
          </w:r>
          <w:r>
            <w:instrText xml:space="preserve"> PAGEREF _Toc14493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rPr>
              <w:rFonts w:ascii="微软雅黑" w:hAnsi="微软雅黑" w:eastAsia="微软雅黑"/>
              <w:bCs/>
              <w:lang w:val="zh-CN"/>
            </w:rPr>
            <w:fldChar w:fldCharType="end"/>
          </w:r>
        </w:p>
        <w:p>
          <w:r>
            <w:rPr>
              <w:rFonts w:ascii="微软雅黑" w:hAnsi="微软雅黑" w:eastAsia="微软雅黑"/>
              <w:bCs/>
              <w:lang w:val="zh-CN"/>
            </w:rPr>
            <w:fldChar w:fldCharType="end"/>
          </w:r>
        </w:p>
      </w:sdtContent>
    </w:sdt>
    <w:p>
      <w:pPr>
        <w:widowControl/>
        <w:jc w:val="left"/>
        <w:rPr>
          <w:rFonts w:hint="eastAsia" w:ascii="Arial" w:hAnsi="Arial" w:eastAsia="微软雅黑" w:cs="Arial"/>
          <w:sz w:val="28"/>
          <w:szCs w:val="28"/>
        </w:rPr>
      </w:pPr>
    </w:p>
    <w:p>
      <w:pPr>
        <w:pStyle w:val="2"/>
      </w:pPr>
    </w:p>
    <w:p>
      <w:pPr>
        <w:widowControl/>
        <w:jc w:val="left"/>
        <w:rPr>
          <w:rFonts w:ascii="宋体" w:hAnsi="Times New Roman" w:eastAsia="宋体" w:cs="宋体"/>
          <w:color w:val="000000"/>
          <w:kern w:val="0"/>
          <w:sz w:val="24"/>
          <w:szCs w:val="24"/>
        </w:rPr>
      </w:pPr>
      <w:r>
        <w:br w:type="page"/>
      </w:r>
    </w:p>
    <w:p>
      <w:pPr>
        <w:pStyle w:val="27"/>
        <w:numPr>
          <w:ilvl w:val="0"/>
          <w:numId w:val="1"/>
        </w:numPr>
        <w:spacing w:before="312" w:beforeLines="100" w:after="312" w:afterLines="100" w:line="440" w:lineRule="exact"/>
        <w:ind w:firstLineChars="0"/>
        <w:outlineLvl w:val="0"/>
        <w:rPr>
          <w:rFonts w:ascii="微软雅黑" w:hAnsi="微软雅黑" w:eastAsia="微软雅黑" w:cs="微软雅黑"/>
          <w:b/>
          <w:bCs/>
          <w:sz w:val="36"/>
          <w:szCs w:val="36"/>
        </w:rPr>
      </w:pPr>
      <w:bookmarkStart w:id="1" w:name="_Toc12625"/>
      <w:r>
        <w:rPr>
          <w:rFonts w:hint="eastAsia" w:ascii="微软雅黑" w:hAnsi="微软雅黑" w:eastAsia="微软雅黑" w:cs="微软雅黑"/>
          <w:b/>
          <w:bCs/>
          <w:sz w:val="36"/>
          <w:szCs w:val="36"/>
        </w:rPr>
        <w:t>适用范围</w:t>
      </w:r>
      <w:bookmarkEnd w:id="1"/>
    </w:p>
    <w:p>
      <w:pPr>
        <w:spacing w:before="317" w:line="250" w:lineRule="exact"/>
        <w:ind w:firstLine="480" w:firstLineChars="200"/>
        <w:rPr>
          <w:rFonts w:ascii="微软雅黑" w:hAnsi="微软雅黑" w:eastAsia="微软雅黑"/>
          <w:color w:val="000000"/>
          <w:sz w:val="24"/>
          <w:szCs w:val="24"/>
        </w:rPr>
      </w:pPr>
      <w:r>
        <w:rPr>
          <w:rFonts w:ascii="微软雅黑" w:hAnsi="微软雅黑" w:eastAsia="微软雅黑" w:cs="宋体"/>
          <w:color w:val="000000"/>
          <w:sz w:val="24"/>
          <w:szCs w:val="24"/>
        </w:rPr>
        <w:t>本技术手册仅适用于室内全彩</w:t>
      </w:r>
      <w:r>
        <w:rPr>
          <w:rFonts w:ascii="微软雅黑" w:hAnsi="微软雅黑" w:eastAsia="微软雅黑"/>
          <w:color w:val="000000"/>
          <w:sz w:val="24"/>
          <w:szCs w:val="24"/>
        </w:rPr>
        <w:t xml:space="preserve"> P2.5</w:t>
      </w:r>
      <w:r>
        <w:rPr>
          <w:rFonts w:ascii="微软雅黑" w:hAnsi="微软雅黑" w:eastAsia="微软雅黑" w:cs="宋体"/>
          <w:color w:val="000000"/>
          <w:sz w:val="24"/>
          <w:szCs w:val="24"/>
        </w:rPr>
        <w:t>单元板，以下为常规型产品参数，如有特殊需求可定制</w:t>
      </w:r>
    </w:p>
    <w:p>
      <w:pPr>
        <w:pStyle w:val="3"/>
        <w:rPr>
          <w:rFonts w:ascii="微软雅黑" w:hAnsi="微软雅黑" w:eastAsia="微软雅黑" w:cs="微软雅黑"/>
          <w:sz w:val="36"/>
          <w:szCs w:val="36"/>
        </w:rPr>
      </w:pPr>
      <w:bookmarkStart w:id="2" w:name="_Toc27916"/>
      <w:r>
        <w:rPr>
          <w:rFonts w:hint="eastAsia" w:ascii="微软雅黑" w:hAnsi="微软雅黑" w:eastAsia="微软雅黑" w:cs="微软雅黑"/>
          <w:sz w:val="36"/>
          <w:szCs w:val="36"/>
        </w:rPr>
        <w:t>二、注意事项</w:t>
      </w:r>
      <w:bookmarkEnd w:id="2"/>
    </w:p>
    <w:tbl>
      <w:tblPr>
        <w:tblStyle w:val="17"/>
        <w:tblW w:w="0" w:type="auto"/>
        <w:tblInd w:w="-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35"/>
        <w:gridCol w:w="615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3" w:hRule="atLeast"/>
        </w:trPr>
        <w:tc>
          <w:tcPr>
            <w:tcW w:w="3135" w:type="dxa"/>
          </w:tcPr>
          <w:p>
            <w:pPr>
              <w:pStyle w:val="2"/>
              <w:jc w:val="center"/>
              <w:rPr>
                <w:rFonts w:asciiTheme="minorEastAsia" w:hAnsiTheme="minorEastAsia" w:eastAsiaTheme="minorEastAsia"/>
                <w:sz w:val="20"/>
                <w:szCs w:val="20"/>
              </w:rPr>
            </w:pPr>
            <w:r>
              <w:rPr>
                <w:rFonts w:asciiTheme="minorEastAsia" w:hAnsiTheme="minorEastAsia" w:eastAsiaTheme="minorEastAsia"/>
                <w:sz w:val="20"/>
                <w:szCs w:val="20"/>
              </w:rPr>
              <w:t>项目</w:t>
            </w:r>
          </w:p>
        </w:tc>
        <w:tc>
          <w:tcPr>
            <w:tcW w:w="6158" w:type="dxa"/>
          </w:tcPr>
          <w:p>
            <w:pPr>
              <w:pStyle w:val="2"/>
              <w:jc w:val="center"/>
              <w:rPr>
                <w:rFonts w:asciiTheme="minorEastAsia" w:hAnsiTheme="minorEastAsia" w:eastAsiaTheme="minorEastAsia"/>
                <w:sz w:val="20"/>
                <w:szCs w:val="20"/>
              </w:rPr>
            </w:pPr>
            <w:r>
              <w:rPr>
                <w:rFonts w:asciiTheme="minorEastAsia" w:hAnsiTheme="minorEastAsia" w:eastAsiaTheme="minorEastAsia"/>
                <w:sz w:val="20"/>
                <w:szCs w:val="20"/>
              </w:rPr>
              <w:t>描述</w:t>
            </w:r>
          </w:p>
        </w:tc>
      </w:tr>
    </w:tbl>
    <w:tbl>
      <w:tblPr>
        <w:tblStyle w:val="17"/>
        <w:tblpPr w:leftFromText="180" w:rightFromText="180" w:vertAnchor="text" w:horzAnchor="margin" w:tblpY="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20"/>
        <w:gridCol w:w="2408"/>
        <w:gridCol w:w="616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7" w:hRule="atLeast"/>
        </w:trPr>
        <w:tc>
          <w:tcPr>
            <w:tcW w:w="720" w:type="dxa"/>
            <w:vMerge w:val="restart"/>
          </w:tcPr>
          <w:p>
            <w:pPr>
              <w:pStyle w:val="2"/>
              <w:jc w:val="center"/>
              <w:rPr>
                <w:rFonts w:asciiTheme="minorEastAsia" w:hAnsiTheme="minorEastAsia" w:eastAsiaTheme="minorEastAsia"/>
                <w:sz w:val="20"/>
                <w:szCs w:val="20"/>
              </w:rPr>
            </w:pPr>
          </w:p>
          <w:p>
            <w:pPr>
              <w:pStyle w:val="2"/>
              <w:jc w:val="center"/>
              <w:rPr>
                <w:rFonts w:asciiTheme="minorEastAsia" w:hAnsiTheme="minorEastAsia" w:eastAsiaTheme="minorEastAsia"/>
                <w:sz w:val="20"/>
                <w:szCs w:val="20"/>
              </w:rPr>
            </w:pPr>
          </w:p>
          <w:p>
            <w:pPr>
              <w:pStyle w:val="2"/>
              <w:jc w:val="center"/>
              <w:rPr>
                <w:rFonts w:asciiTheme="minorEastAsia" w:hAnsiTheme="minorEastAsia" w:eastAsiaTheme="minorEastAsia"/>
                <w:sz w:val="20"/>
                <w:szCs w:val="20"/>
              </w:rPr>
            </w:pPr>
          </w:p>
          <w:p>
            <w:pPr>
              <w:pStyle w:val="2"/>
              <w:jc w:val="center"/>
              <w:rPr>
                <w:rFonts w:asciiTheme="minorEastAsia" w:hAnsiTheme="minorEastAsia" w:eastAsiaTheme="minorEastAsia"/>
                <w:sz w:val="20"/>
                <w:szCs w:val="20"/>
              </w:rPr>
            </w:pPr>
          </w:p>
          <w:p>
            <w:pPr>
              <w:pStyle w:val="2"/>
              <w:jc w:val="center"/>
              <w:rPr>
                <w:rFonts w:asciiTheme="minorEastAsia" w:hAnsiTheme="minorEastAsia" w:eastAsiaTheme="minorEastAsia"/>
                <w:sz w:val="20"/>
                <w:szCs w:val="20"/>
              </w:rPr>
            </w:pPr>
          </w:p>
          <w:p>
            <w:pPr>
              <w:pStyle w:val="2"/>
              <w:jc w:val="center"/>
              <w:rPr>
                <w:rFonts w:asciiTheme="minorEastAsia" w:hAnsiTheme="minorEastAsia" w:eastAsiaTheme="minorEastAsia"/>
                <w:sz w:val="20"/>
                <w:szCs w:val="20"/>
              </w:rPr>
            </w:pPr>
          </w:p>
          <w:p>
            <w:pPr>
              <w:pStyle w:val="2"/>
              <w:jc w:val="center"/>
              <w:rPr>
                <w:rFonts w:asciiTheme="minorEastAsia" w:hAnsiTheme="minorEastAsia" w:eastAsiaTheme="minorEastAsia"/>
                <w:sz w:val="20"/>
                <w:szCs w:val="20"/>
              </w:rPr>
            </w:pPr>
          </w:p>
          <w:p>
            <w:pPr>
              <w:pStyle w:val="2"/>
              <w:jc w:val="center"/>
              <w:rPr>
                <w:rFonts w:asciiTheme="minorEastAsia" w:hAnsiTheme="minorEastAsia" w:eastAsiaTheme="minorEastAsia"/>
                <w:sz w:val="20"/>
                <w:szCs w:val="20"/>
              </w:rPr>
            </w:pPr>
          </w:p>
          <w:p>
            <w:pPr>
              <w:pStyle w:val="2"/>
              <w:jc w:val="center"/>
              <w:rPr>
                <w:rFonts w:asciiTheme="minorEastAsia" w:hAnsiTheme="minorEastAsia" w:eastAsiaTheme="minorEastAsia"/>
                <w:sz w:val="20"/>
                <w:szCs w:val="20"/>
              </w:rPr>
            </w:pPr>
          </w:p>
          <w:p>
            <w:pPr>
              <w:pStyle w:val="2"/>
              <w:jc w:val="center"/>
              <w:rPr>
                <w:rFonts w:asciiTheme="minorEastAsia" w:hAnsiTheme="minorEastAsia" w:eastAsiaTheme="minorEastAsia"/>
                <w:sz w:val="20"/>
                <w:szCs w:val="20"/>
              </w:rPr>
            </w:pPr>
          </w:p>
          <w:p>
            <w:pPr>
              <w:pStyle w:val="2"/>
              <w:jc w:val="center"/>
              <w:rPr>
                <w:rFonts w:asciiTheme="minorEastAsia" w:hAnsiTheme="minorEastAsia" w:eastAsiaTheme="minorEastAsia"/>
                <w:sz w:val="20"/>
                <w:szCs w:val="20"/>
              </w:rPr>
            </w:pPr>
          </w:p>
          <w:p>
            <w:pPr>
              <w:pStyle w:val="2"/>
              <w:jc w:val="center"/>
              <w:rPr>
                <w:rFonts w:asciiTheme="minorEastAsia" w:hAnsiTheme="minorEastAsia" w:eastAsiaTheme="minorEastAsia"/>
                <w:sz w:val="20"/>
                <w:szCs w:val="20"/>
              </w:rPr>
            </w:pPr>
          </w:p>
          <w:p>
            <w:pPr>
              <w:pStyle w:val="2"/>
              <w:jc w:val="center"/>
              <w:rPr>
                <w:rFonts w:asciiTheme="minorEastAsia" w:hAnsiTheme="minorEastAsia" w:eastAsiaTheme="minorEastAsia"/>
                <w:sz w:val="20"/>
                <w:szCs w:val="20"/>
              </w:rPr>
            </w:pPr>
          </w:p>
          <w:p>
            <w:pPr>
              <w:pStyle w:val="2"/>
              <w:jc w:val="center"/>
              <w:rPr>
                <w:rFonts w:asciiTheme="minorEastAsia" w:hAnsiTheme="minorEastAsia" w:eastAsiaTheme="minorEastAsia"/>
                <w:sz w:val="20"/>
                <w:szCs w:val="20"/>
              </w:rPr>
            </w:pPr>
            <w:r>
              <w:rPr>
                <w:rFonts w:asciiTheme="minorEastAsia" w:hAnsiTheme="minorEastAsia" w:eastAsiaTheme="minorEastAsia"/>
                <w:sz w:val="20"/>
                <w:szCs w:val="20"/>
              </w:rPr>
              <w:t>环境 注意 事项</w:t>
            </w:r>
          </w:p>
          <w:p>
            <w:pPr>
              <w:pStyle w:val="2"/>
              <w:jc w:val="center"/>
              <w:rPr>
                <w:rFonts w:asciiTheme="minorEastAsia" w:hAnsiTheme="minorEastAsia" w:eastAsiaTheme="minorEastAsia"/>
                <w:sz w:val="20"/>
                <w:szCs w:val="20"/>
              </w:rPr>
            </w:pPr>
          </w:p>
          <w:p>
            <w:pPr>
              <w:pStyle w:val="2"/>
              <w:jc w:val="center"/>
              <w:rPr>
                <w:rFonts w:asciiTheme="minorEastAsia" w:hAnsiTheme="minorEastAsia" w:eastAsiaTheme="minorEastAsia"/>
                <w:sz w:val="20"/>
                <w:szCs w:val="20"/>
              </w:rPr>
            </w:pPr>
          </w:p>
          <w:p>
            <w:pPr>
              <w:pStyle w:val="2"/>
              <w:jc w:val="center"/>
              <w:rPr>
                <w:rFonts w:asciiTheme="minorEastAsia" w:hAnsiTheme="minorEastAsia" w:eastAsiaTheme="minorEastAsia"/>
                <w:sz w:val="20"/>
                <w:szCs w:val="20"/>
              </w:rPr>
            </w:pPr>
          </w:p>
          <w:p>
            <w:pPr>
              <w:pStyle w:val="2"/>
              <w:jc w:val="center"/>
              <w:rPr>
                <w:rFonts w:asciiTheme="minorEastAsia" w:hAnsiTheme="minorEastAsia" w:eastAsiaTheme="minorEastAsia"/>
                <w:sz w:val="20"/>
                <w:szCs w:val="20"/>
              </w:rPr>
            </w:pPr>
          </w:p>
          <w:p>
            <w:pPr>
              <w:pStyle w:val="2"/>
              <w:jc w:val="center"/>
              <w:rPr>
                <w:rFonts w:asciiTheme="minorEastAsia" w:hAnsiTheme="minorEastAsia" w:eastAsiaTheme="minorEastAsia"/>
                <w:sz w:val="20"/>
                <w:szCs w:val="20"/>
              </w:rPr>
            </w:pPr>
          </w:p>
          <w:p>
            <w:pPr>
              <w:pStyle w:val="2"/>
              <w:jc w:val="center"/>
              <w:rPr>
                <w:rFonts w:asciiTheme="minorEastAsia" w:hAnsiTheme="minorEastAsia" w:eastAsiaTheme="minorEastAsia"/>
                <w:sz w:val="20"/>
                <w:szCs w:val="20"/>
              </w:rPr>
            </w:pPr>
          </w:p>
          <w:p>
            <w:pPr>
              <w:pStyle w:val="2"/>
              <w:jc w:val="center"/>
              <w:rPr>
                <w:rFonts w:asciiTheme="minorEastAsia" w:hAnsiTheme="minorEastAsia" w:eastAsiaTheme="minorEastAsia"/>
                <w:sz w:val="20"/>
                <w:szCs w:val="20"/>
              </w:rPr>
            </w:pPr>
          </w:p>
          <w:p>
            <w:pPr>
              <w:pStyle w:val="2"/>
              <w:jc w:val="center"/>
              <w:rPr>
                <w:rFonts w:asciiTheme="minorEastAsia" w:hAnsiTheme="minorEastAsia" w:eastAsiaTheme="minorEastAsia"/>
                <w:sz w:val="20"/>
                <w:szCs w:val="20"/>
              </w:rPr>
            </w:pPr>
          </w:p>
          <w:p>
            <w:pPr>
              <w:pStyle w:val="2"/>
              <w:jc w:val="center"/>
              <w:rPr>
                <w:rFonts w:asciiTheme="minorEastAsia" w:hAnsiTheme="minorEastAsia" w:eastAsiaTheme="minorEastAsia"/>
                <w:sz w:val="20"/>
                <w:szCs w:val="20"/>
              </w:rPr>
            </w:pPr>
          </w:p>
        </w:tc>
        <w:tc>
          <w:tcPr>
            <w:tcW w:w="2408" w:type="dxa"/>
            <w:shd w:val="clear" w:color="auto" w:fill="auto"/>
          </w:tcPr>
          <w:p>
            <w:pPr>
              <w:widowControl/>
              <w:jc w:val="center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/>
                <w:sz w:val="20"/>
                <w:szCs w:val="20"/>
              </w:rPr>
              <w:t>温度要求</w:t>
            </w:r>
          </w:p>
        </w:tc>
        <w:tc>
          <w:tcPr>
            <w:tcW w:w="6165" w:type="dxa"/>
            <w:shd w:val="clear" w:color="auto" w:fill="auto"/>
          </w:tcPr>
          <w:p>
            <w:pPr>
              <w:widowControl/>
              <w:jc w:val="left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/>
                <w:sz w:val="20"/>
                <w:szCs w:val="20"/>
              </w:rPr>
              <w:t>存储温度范围：-10</w:t>
            </w:r>
            <w:r>
              <w:rPr>
                <w:rFonts w:hint="eastAsia" w:cs="宋体" w:asciiTheme="minorEastAsia" w:hAnsiTheme="minorEastAsia"/>
                <w:sz w:val="20"/>
                <w:szCs w:val="20"/>
              </w:rPr>
              <w:t>℃</w:t>
            </w:r>
            <w:r>
              <w:rPr>
                <w:rFonts w:asciiTheme="minorEastAsia" w:hAnsiTheme="minorEastAsia"/>
                <w:sz w:val="20"/>
                <w:szCs w:val="20"/>
              </w:rPr>
              <w:t>-30</w:t>
            </w:r>
            <w:r>
              <w:rPr>
                <w:rFonts w:hint="eastAsia" w:cs="宋体" w:asciiTheme="minorEastAsia" w:hAnsiTheme="minorEastAsia"/>
                <w:sz w:val="20"/>
                <w:szCs w:val="20"/>
              </w:rPr>
              <w:t>℃</w:t>
            </w:r>
            <w:r>
              <w:rPr>
                <w:rFonts w:asciiTheme="minorEastAsia" w:hAnsiTheme="minorEastAsia"/>
                <w:sz w:val="20"/>
                <w:szCs w:val="20"/>
              </w:rPr>
              <w:t>，超过 30</w:t>
            </w:r>
            <w:r>
              <w:rPr>
                <w:rFonts w:hint="eastAsia" w:cs="宋体" w:asciiTheme="minorEastAsia" w:hAnsiTheme="minorEastAsia"/>
                <w:sz w:val="20"/>
                <w:szCs w:val="20"/>
              </w:rPr>
              <w:t>℃</w:t>
            </w:r>
            <w:r>
              <w:rPr>
                <w:rFonts w:asciiTheme="minorEastAsia" w:hAnsiTheme="minorEastAsia"/>
                <w:sz w:val="20"/>
                <w:szCs w:val="20"/>
              </w:rPr>
              <w:t>需做降温处理。 工作温度范围：-20</w:t>
            </w:r>
            <w:r>
              <w:rPr>
                <w:rFonts w:hint="eastAsia" w:cs="宋体" w:asciiTheme="minorEastAsia" w:hAnsiTheme="minorEastAsia"/>
                <w:sz w:val="20"/>
                <w:szCs w:val="20"/>
              </w:rPr>
              <w:t>℃</w:t>
            </w:r>
            <w:r>
              <w:rPr>
                <w:rFonts w:asciiTheme="minorEastAsia" w:hAnsiTheme="minorEastAsia"/>
                <w:sz w:val="20"/>
                <w:szCs w:val="20"/>
              </w:rPr>
              <w:t>-40</w:t>
            </w:r>
            <w:r>
              <w:rPr>
                <w:rFonts w:hint="eastAsia" w:cs="宋体" w:asciiTheme="minorEastAsia" w:hAnsiTheme="minorEastAsia"/>
                <w:sz w:val="20"/>
                <w:szCs w:val="20"/>
              </w:rPr>
              <w:t>℃</w:t>
            </w:r>
            <w:r>
              <w:rPr>
                <w:rFonts w:asciiTheme="minorEastAsia" w:hAnsiTheme="minorEastAsia"/>
                <w:sz w:val="20"/>
                <w:szCs w:val="20"/>
              </w:rPr>
              <w:t>，其它温度范围，需加装温控设备。 单元板工作时灯面温度：≤60</w:t>
            </w:r>
            <w:r>
              <w:rPr>
                <w:rFonts w:hint="eastAsia" w:cs="宋体" w:asciiTheme="minorEastAsia" w:hAnsiTheme="minorEastAsia"/>
                <w:sz w:val="20"/>
                <w:szCs w:val="20"/>
              </w:rPr>
              <w:t>℃</w:t>
            </w:r>
            <w:r>
              <w:rPr>
                <w:rFonts w:asciiTheme="minorEastAsia" w:hAnsiTheme="minorEastAsia"/>
                <w:sz w:val="20"/>
                <w:szCs w:val="20"/>
              </w:rPr>
              <w:t>，温度超标需加装温控设备。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83" w:hRule="atLeast"/>
        </w:trPr>
        <w:tc>
          <w:tcPr>
            <w:tcW w:w="720" w:type="dxa"/>
            <w:vMerge w:val="continue"/>
          </w:tcPr>
          <w:p>
            <w:pPr>
              <w:pStyle w:val="2"/>
              <w:jc w:val="center"/>
              <w:rPr>
                <w:rFonts w:asciiTheme="minorEastAsia" w:hAnsiTheme="minorEastAsia" w:eastAsiaTheme="minorEastAsia"/>
                <w:sz w:val="20"/>
                <w:szCs w:val="20"/>
              </w:rPr>
            </w:pPr>
          </w:p>
        </w:tc>
        <w:tc>
          <w:tcPr>
            <w:tcW w:w="2408" w:type="dxa"/>
            <w:shd w:val="clear" w:color="auto" w:fill="auto"/>
          </w:tcPr>
          <w:p>
            <w:pPr>
              <w:jc w:val="center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/>
                <w:sz w:val="20"/>
                <w:szCs w:val="20"/>
              </w:rPr>
              <w:t>湿度要求</w:t>
            </w:r>
          </w:p>
        </w:tc>
        <w:tc>
          <w:tcPr>
            <w:tcW w:w="6165" w:type="dxa"/>
            <w:shd w:val="clear" w:color="auto" w:fill="auto"/>
          </w:tcPr>
          <w:p>
            <w:pPr>
              <w:jc w:val="left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/>
                <w:sz w:val="20"/>
                <w:szCs w:val="20"/>
              </w:rPr>
              <w:t>存储湿度范围：10%RH-60%RH，湿度超过 60%RH 需除湿处理。 工作湿度范围：10%RH -65%RH，湿度超标需对使用环境除湿处理 后才能正常使用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17" w:hRule="atLeast"/>
        </w:trPr>
        <w:tc>
          <w:tcPr>
            <w:tcW w:w="720" w:type="dxa"/>
            <w:vMerge w:val="continue"/>
          </w:tcPr>
          <w:p>
            <w:pPr>
              <w:pStyle w:val="2"/>
              <w:jc w:val="center"/>
              <w:rPr>
                <w:rFonts w:asciiTheme="minorEastAsia" w:hAnsiTheme="minorEastAsia" w:eastAsiaTheme="minorEastAsia"/>
                <w:sz w:val="20"/>
                <w:szCs w:val="20"/>
              </w:rPr>
            </w:pPr>
          </w:p>
        </w:tc>
        <w:tc>
          <w:tcPr>
            <w:tcW w:w="2408" w:type="dxa"/>
            <w:shd w:val="clear" w:color="auto" w:fill="auto"/>
          </w:tcPr>
          <w:p>
            <w:pPr>
              <w:jc w:val="center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/>
                <w:sz w:val="20"/>
                <w:szCs w:val="20"/>
              </w:rPr>
              <w:t>存放超期处理</w:t>
            </w:r>
          </w:p>
        </w:tc>
        <w:tc>
          <w:tcPr>
            <w:tcW w:w="6165" w:type="dxa"/>
            <w:shd w:val="clear" w:color="auto" w:fill="auto"/>
          </w:tcPr>
          <w:p>
            <w:pPr>
              <w:jc w:val="left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/>
                <w:sz w:val="20"/>
                <w:szCs w:val="20"/>
              </w:rPr>
              <w:t>产品存放时间超过一个月，使用前需经过 6 小时的老化后才能正 常使用。老化方式为：全亮亮度设置 10% 1H, 全亮亮度设置 30% 1H, 全亮亮度设置 60% 2H, 全亮亮度设置 80% 1H, 全亮亮度设 置 100% 1H（亮度逐渐递增老化）。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87" w:hRule="atLeast"/>
        </w:trPr>
        <w:tc>
          <w:tcPr>
            <w:tcW w:w="720" w:type="dxa"/>
            <w:vMerge w:val="continue"/>
          </w:tcPr>
          <w:p>
            <w:pPr>
              <w:pStyle w:val="2"/>
              <w:jc w:val="center"/>
              <w:rPr>
                <w:rFonts w:asciiTheme="minorEastAsia" w:hAnsiTheme="minorEastAsia" w:eastAsiaTheme="minorEastAsia"/>
                <w:sz w:val="20"/>
                <w:szCs w:val="20"/>
              </w:rPr>
            </w:pPr>
          </w:p>
        </w:tc>
        <w:tc>
          <w:tcPr>
            <w:tcW w:w="2408" w:type="dxa"/>
            <w:shd w:val="clear" w:color="auto" w:fill="auto"/>
          </w:tcPr>
          <w:p>
            <w:pPr>
              <w:jc w:val="center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/>
                <w:sz w:val="20"/>
                <w:szCs w:val="20"/>
              </w:rPr>
              <w:t>防尘要求</w:t>
            </w:r>
          </w:p>
        </w:tc>
        <w:tc>
          <w:tcPr>
            <w:tcW w:w="6165" w:type="dxa"/>
            <w:shd w:val="clear" w:color="auto" w:fill="auto"/>
          </w:tcPr>
          <w:p>
            <w:pPr>
              <w:jc w:val="left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/>
                <w:sz w:val="20"/>
                <w:szCs w:val="20"/>
              </w:rPr>
              <w:t>室内产品无防护等级或 IP30，显示屏不应暴露在尘埃较多的环境 中，比如演播室装修、改造等，需对显示屏进行特殊防护。装修 时不能安装 LED 显示屏。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4" w:hRule="atLeast"/>
        </w:trPr>
        <w:tc>
          <w:tcPr>
            <w:tcW w:w="720" w:type="dxa"/>
            <w:vMerge w:val="continue"/>
          </w:tcPr>
          <w:p>
            <w:pPr>
              <w:pStyle w:val="2"/>
              <w:jc w:val="center"/>
              <w:rPr>
                <w:rFonts w:asciiTheme="minorEastAsia" w:hAnsiTheme="minorEastAsia" w:eastAsiaTheme="minorEastAsia"/>
                <w:sz w:val="20"/>
                <w:szCs w:val="20"/>
              </w:rPr>
            </w:pPr>
          </w:p>
        </w:tc>
        <w:tc>
          <w:tcPr>
            <w:tcW w:w="2408" w:type="dxa"/>
            <w:shd w:val="clear" w:color="auto" w:fill="auto"/>
          </w:tcPr>
          <w:p>
            <w:pPr>
              <w:jc w:val="center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/>
                <w:sz w:val="20"/>
                <w:szCs w:val="20"/>
              </w:rPr>
              <w:t>防腐蚀性气体</w:t>
            </w:r>
          </w:p>
        </w:tc>
        <w:tc>
          <w:tcPr>
            <w:tcW w:w="6165" w:type="dxa"/>
            <w:shd w:val="clear" w:color="auto" w:fill="auto"/>
          </w:tcPr>
          <w:p>
            <w:pPr>
              <w:jc w:val="left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/>
                <w:sz w:val="20"/>
                <w:szCs w:val="20"/>
              </w:rPr>
              <w:t>腐蚀性气体在空气中含有盐或酸气的环境中，会造成电子元件的 腐蚀、结晶漏电等现象。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3" w:hRule="atLeast"/>
        </w:trPr>
        <w:tc>
          <w:tcPr>
            <w:tcW w:w="720" w:type="dxa"/>
            <w:vMerge w:val="continue"/>
          </w:tcPr>
          <w:p>
            <w:pPr>
              <w:pStyle w:val="2"/>
              <w:jc w:val="center"/>
              <w:rPr>
                <w:rFonts w:asciiTheme="minorEastAsia" w:hAnsiTheme="minorEastAsia" w:eastAsiaTheme="minorEastAsia"/>
                <w:sz w:val="20"/>
                <w:szCs w:val="20"/>
              </w:rPr>
            </w:pPr>
          </w:p>
        </w:tc>
        <w:tc>
          <w:tcPr>
            <w:tcW w:w="2408" w:type="dxa"/>
            <w:shd w:val="clear" w:color="auto" w:fill="auto"/>
          </w:tcPr>
          <w:p>
            <w:pPr>
              <w:jc w:val="center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/>
                <w:sz w:val="20"/>
                <w:szCs w:val="20"/>
              </w:rPr>
              <w:t>防电磁辐射</w:t>
            </w:r>
          </w:p>
        </w:tc>
        <w:tc>
          <w:tcPr>
            <w:tcW w:w="6165" w:type="dxa"/>
            <w:shd w:val="clear" w:color="auto" w:fill="auto"/>
          </w:tcPr>
          <w:p>
            <w:pPr>
              <w:jc w:val="left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/>
                <w:sz w:val="20"/>
                <w:szCs w:val="20"/>
              </w:rPr>
              <w:t>显示屏不宜安置在电磁辐射、射频辐射超过场强 5V/m 干扰源的环 境中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720" w:type="dxa"/>
            <w:vMerge w:val="continue"/>
          </w:tcPr>
          <w:p>
            <w:pPr>
              <w:pStyle w:val="2"/>
              <w:jc w:val="center"/>
              <w:rPr>
                <w:rFonts w:asciiTheme="minorEastAsia" w:hAnsiTheme="minorEastAsia" w:eastAsiaTheme="minorEastAsia"/>
                <w:sz w:val="20"/>
                <w:szCs w:val="20"/>
              </w:rPr>
            </w:pPr>
          </w:p>
        </w:tc>
        <w:tc>
          <w:tcPr>
            <w:tcW w:w="2408" w:type="dxa"/>
            <w:shd w:val="clear" w:color="auto" w:fill="auto"/>
          </w:tcPr>
          <w:p>
            <w:pPr>
              <w:jc w:val="center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/>
                <w:sz w:val="20"/>
                <w:szCs w:val="20"/>
              </w:rPr>
              <w:t>避开强光照射</w:t>
            </w:r>
          </w:p>
        </w:tc>
        <w:tc>
          <w:tcPr>
            <w:tcW w:w="6165" w:type="dxa"/>
            <w:shd w:val="clear" w:color="auto" w:fill="auto"/>
          </w:tcPr>
          <w:p>
            <w:pPr>
              <w:jc w:val="left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/>
                <w:sz w:val="20"/>
                <w:szCs w:val="20"/>
              </w:rPr>
              <w:t>强光会影响显示屏的显示效果和影响产品寿命，应避开安装在阳 光直射时间较长的方向。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720" w:type="dxa"/>
            <w:vMerge w:val="continue"/>
          </w:tcPr>
          <w:p>
            <w:pPr>
              <w:pStyle w:val="2"/>
              <w:jc w:val="center"/>
              <w:rPr>
                <w:rFonts w:asciiTheme="minorEastAsia" w:hAnsiTheme="minorEastAsia" w:eastAsiaTheme="minorEastAsia"/>
                <w:sz w:val="20"/>
                <w:szCs w:val="20"/>
              </w:rPr>
            </w:pPr>
          </w:p>
        </w:tc>
        <w:tc>
          <w:tcPr>
            <w:tcW w:w="2408" w:type="dxa"/>
            <w:shd w:val="clear" w:color="auto" w:fill="auto"/>
          </w:tcPr>
          <w:p>
            <w:pPr>
              <w:jc w:val="center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/>
                <w:sz w:val="20"/>
                <w:szCs w:val="20"/>
              </w:rPr>
              <w:t>远离水源</w:t>
            </w:r>
          </w:p>
        </w:tc>
        <w:tc>
          <w:tcPr>
            <w:tcW w:w="6165" w:type="dxa"/>
            <w:shd w:val="clear" w:color="auto" w:fill="auto"/>
          </w:tcPr>
          <w:p>
            <w:pPr>
              <w:jc w:val="left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/>
                <w:sz w:val="20"/>
                <w:szCs w:val="20"/>
              </w:rPr>
              <w:t>室内产品防护等级低，水导电可使电路短路，导致电路器件损 毁，故需远离水源。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78" w:hRule="atLeast"/>
        </w:trPr>
        <w:tc>
          <w:tcPr>
            <w:tcW w:w="720" w:type="dxa"/>
            <w:vMerge w:val="continue"/>
          </w:tcPr>
          <w:p>
            <w:pPr>
              <w:pStyle w:val="2"/>
              <w:jc w:val="center"/>
              <w:rPr>
                <w:rFonts w:asciiTheme="minorEastAsia" w:hAnsiTheme="minorEastAsia" w:eastAsiaTheme="minorEastAsia"/>
                <w:sz w:val="20"/>
                <w:szCs w:val="20"/>
              </w:rPr>
            </w:pPr>
          </w:p>
        </w:tc>
        <w:tc>
          <w:tcPr>
            <w:tcW w:w="2408" w:type="dxa"/>
            <w:shd w:val="clear" w:color="auto" w:fill="auto"/>
          </w:tcPr>
          <w:p>
            <w:pPr>
              <w:jc w:val="center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/>
                <w:sz w:val="20"/>
                <w:szCs w:val="20"/>
              </w:rPr>
              <w:t>静电危害，防止雷 击</w:t>
            </w:r>
          </w:p>
        </w:tc>
        <w:tc>
          <w:tcPr>
            <w:tcW w:w="6165" w:type="dxa"/>
            <w:shd w:val="clear" w:color="auto" w:fill="auto"/>
          </w:tcPr>
          <w:p>
            <w:pPr>
              <w:jc w:val="left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/>
                <w:sz w:val="20"/>
                <w:szCs w:val="20"/>
              </w:rPr>
              <w:t>屏体金属构件、开关电源外壳、箱体需接地良好，注意接地电阻 ≤10Ω。防止潮湿环境中，静电对电子器件的损坏，同时避免漏 电对人体的伤害。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0" w:hRule="atLeast"/>
        </w:trPr>
        <w:tc>
          <w:tcPr>
            <w:tcW w:w="720" w:type="dxa"/>
            <w:vMerge w:val="continue"/>
          </w:tcPr>
          <w:p>
            <w:pPr>
              <w:pStyle w:val="2"/>
              <w:jc w:val="center"/>
              <w:rPr>
                <w:rFonts w:asciiTheme="minorEastAsia" w:hAnsiTheme="minorEastAsia" w:eastAsiaTheme="minorEastAsia"/>
                <w:sz w:val="20"/>
                <w:szCs w:val="20"/>
              </w:rPr>
            </w:pPr>
          </w:p>
        </w:tc>
        <w:tc>
          <w:tcPr>
            <w:tcW w:w="2408" w:type="dxa"/>
            <w:shd w:val="clear" w:color="auto" w:fill="auto"/>
          </w:tcPr>
          <w:p>
            <w:pPr>
              <w:jc w:val="center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/>
                <w:sz w:val="20"/>
                <w:szCs w:val="20"/>
              </w:rPr>
              <w:t>人身伤害</w:t>
            </w:r>
          </w:p>
        </w:tc>
        <w:tc>
          <w:tcPr>
            <w:tcW w:w="6165" w:type="dxa"/>
            <w:shd w:val="clear" w:color="auto" w:fill="auto"/>
          </w:tcPr>
          <w:p>
            <w:pPr>
              <w:jc w:val="left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/>
                <w:sz w:val="20"/>
                <w:szCs w:val="20"/>
              </w:rPr>
              <w:t>显示屏安装的角度和高度需适宜，尖锐的边角需包装，防止强硬 外壳对人体的伤害。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0" w:hRule="atLeast"/>
        </w:trPr>
        <w:tc>
          <w:tcPr>
            <w:tcW w:w="720" w:type="dxa"/>
            <w:vMerge w:val="continue"/>
          </w:tcPr>
          <w:p>
            <w:pPr>
              <w:pStyle w:val="2"/>
              <w:jc w:val="center"/>
              <w:rPr>
                <w:rFonts w:asciiTheme="minorEastAsia" w:hAnsiTheme="minorEastAsia" w:eastAsiaTheme="minorEastAsia"/>
                <w:sz w:val="20"/>
                <w:szCs w:val="20"/>
              </w:rPr>
            </w:pPr>
          </w:p>
        </w:tc>
        <w:tc>
          <w:tcPr>
            <w:tcW w:w="2408" w:type="dxa"/>
            <w:shd w:val="clear" w:color="auto" w:fill="auto"/>
          </w:tcPr>
          <w:p>
            <w:pPr>
              <w:jc w:val="center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/>
                <w:sz w:val="20"/>
                <w:szCs w:val="20"/>
              </w:rPr>
              <w:t>特殊环境</w:t>
            </w:r>
          </w:p>
        </w:tc>
        <w:tc>
          <w:tcPr>
            <w:tcW w:w="6165" w:type="dxa"/>
            <w:shd w:val="clear" w:color="auto" w:fill="auto"/>
          </w:tcPr>
          <w:p>
            <w:pPr>
              <w:jc w:val="left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/>
                <w:sz w:val="20"/>
                <w:szCs w:val="20"/>
              </w:rPr>
              <w:t>特殊环境下使用 LED 显示屏（1、海边、游泳池、洗浴场、地下 室、隧道；2、化学品环境内、硫化环境、卤素环境；3、沙尘、 灰尘大的环境; 4、强紫外线环境; 5、强电磁场的环境；6、小于 -20 度，大于+40 度的环境），需根据产品应用环境妥善使用。</w:t>
            </w:r>
          </w:p>
        </w:tc>
      </w:tr>
    </w:tbl>
    <w:p>
      <w:pPr>
        <w:pStyle w:val="2"/>
        <w:rPr>
          <w:rFonts w:asciiTheme="minorEastAsia" w:hAnsiTheme="minorEastAsia" w:eastAsiaTheme="minorEastAsia"/>
          <w:sz w:val="20"/>
          <w:szCs w:val="20"/>
        </w:rPr>
      </w:pPr>
    </w:p>
    <w:p>
      <w:pPr>
        <w:pStyle w:val="2"/>
        <w:rPr>
          <w:rFonts w:asciiTheme="minorEastAsia" w:hAnsiTheme="minorEastAsia" w:eastAsiaTheme="minorEastAsia"/>
          <w:sz w:val="20"/>
          <w:szCs w:val="20"/>
        </w:rPr>
      </w:pPr>
    </w:p>
    <w:p>
      <w:pPr>
        <w:pStyle w:val="2"/>
        <w:rPr>
          <w:rFonts w:asciiTheme="minorEastAsia" w:hAnsiTheme="minorEastAsia" w:eastAsiaTheme="minorEastAsia"/>
          <w:sz w:val="20"/>
          <w:szCs w:val="20"/>
        </w:rPr>
      </w:pPr>
    </w:p>
    <w:p>
      <w:pPr>
        <w:pStyle w:val="2"/>
        <w:rPr>
          <w:rFonts w:asciiTheme="minorEastAsia" w:hAnsiTheme="minorEastAsia" w:eastAsiaTheme="minorEastAsia"/>
          <w:sz w:val="20"/>
          <w:szCs w:val="20"/>
        </w:rPr>
      </w:pPr>
    </w:p>
    <w:p>
      <w:pPr>
        <w:pStyle w:val="2"/>
        <w:rPr>
          <w:rFonts w:asciiTheme="minorEastAsia" w:hAnsiTheme="minorEastAsia" w:eastAsiaTheme="minorEastAsia"/>
          <w:sz w:val="20"/>
          <w:szCs w:val="20"/>
        </w:rPr>
      </w:pPr>
    </w:p>
    <w:p>
      <w:pPr>
        <w:pStyle w:val="2"/>
        <w:rPr>
          <w:rFonts w:asciiTheme="minorEastAsia" w:hAnsiTheme="minorEastAsia" w:eastAsiaTheme="minorEastAsia"/>
          <w:sz w:val="20"/>
          <w:szCs w:val="20"/>
        </w:rPr>
      </w:pPr>
    </w:p>
    <w:p>
      <w:pPr>
        <w:pStyle w:val="2"/>
        <w:rPr>
          <w:rFonts w:asciiTheme="minorEastAsia" w:hAnsiTheme="minorEastAsia" w:eastAsiaTheme="minorEastAsia"/>
          <w:sz w:val="20"/>
          <w:szCs w:val="20"/>
        </w:rPr>
      </w:pPr>
    </w:p>
    <w:p>
      <w:pPr>
        <w:pStyle w:val="2"/>
        <w:rPr>
          <w:rFonts w:asciiTheme="minorEastAsia" w:hAnsiTheme="minorEastAsia" w:eastAsiaTheme="minorEastAsia"/>
          <w:sz w:val="20"/>
          <w:szCs w:val="20"/>
        </w:rPr>
      </w:pPr>
    </w:p>
    <w:p>
      <w:pPr>
        <w:pStyle w:val="2"/>
        <w:rPr>
          <w:rFonts w:asciiTheme="minorEastAsia" w:hAnsiTheme="minorEastAsia" w:eastAsiaTheme="minorEastAsia"/>
          <w:sz w:val="20"/>
          <w:szCs w:val="20"/>
        </w:rPr>
      </w:pPr>
    </w:p>
    <w:p>
      <w:pPr>
        <w:pStyle w:val="2"/>
        <w:rPr>
          <w:rFonts w:asciiTheme="minorEastAsia" w:hAnsiTheme="minorEastAsia" w:eastAsiaTheme="minorEastAsia"/>
          <w:sz w:val="20"/>
          <w:szCs w:val="20"/>
        </w:rPr>
      </w:pPr>
    </w:p>
    <w:p>
      <w:pPr>
        <w:pStyle w:val="2"/>
        <w:rPr>
          <w:rFonts w:asciiTheme="minorEastAsia" w:hAnsiTheme="minorEastAsia" w:eastAsiaTheme="minorEastAsia"/>
          <w:sz w:val="20"/>
          <w:szCs w:val="20"/>
        </w:rPr>
      </w:pPr>
    </w:p>
    <w:p>
      <w:pPr>
        <w:pStyle w:val="2"/>
        <w:rPr>
          <w:rFonts w:asciiTheme="minorEastAsia" w:hAnsiTheme="minorEastAsia" w:eastAsiaTheme="minorEastAsia"/>
          <w:sz w:val="20"/>
          <w:szCs w:val="20"/>
        </w:rPr>
      </w:pPr>
    </w:p>
    <w:p>
      <w:pPr>
        <w:pStyle w:val="2"/>
        <w:rPr>
          <w:rFonts w:asciiTheme="minorEastAsia" w:hAnsiTheme="minorEastAsia" w:eastAsiaTheme="minorEastAsia"/>
          <w:sz w:val="20"/>
          <w:szCs w:val="20"/>
        </w:rPr>
      </w:pPr>
    </w:p>
    <w:p>
      <w:pPr>
        <w:pStyle w:val="2"/>
        <w:rPr>
          <w:rFonts w:asciiTheme="minorEastAsia" w:hAnsiTheme="minorEastAsia" w:eastAsiaTheme="minorEastAsia"/>
          <w:sz w:val="20"/>
          <w:szCs w:val="20"/>
        </w:rPr>
      </w:pPr>
    </w:p>
    <w:p>
      <w:pPr>
        <w:pStyle w:val="2"/>
        <w:rPr>
          <w:rFonts w:asciiTheme="minorEastAsia" w:hAnsiTheme="minorEastAsia" w:eastAsiaTheme="minorEastAsia"/>
          <w:sz w:val="20"/>
          <w:szCs w:val="20"/>
        </w:rPr>
      </w:pPr>
    </w:p>
    <w:p>
      <w:pPr>
        <w:pStyle w:val="2"/>
        <w:rPr>
          <w:rFonts w:asciiTheme="minorEastAsia" w:hAnsiTheme="minorEastAsia" w:eastAsiaTheme="minorEastAsia"/>
          <w:sz w:val="20"/>
          <w:szCs w:val="20"/>
        </w:rPr>
      </w:pPr>
    </w:p>
    <w:p>
      <w:pPr>
        <w:pStyle w:val="2"/>
        <w:rPr>
          <w:rFonts w:asciiTheme="minorEastAsia" w:hAnsiTheme="minorEastAsia" w:eastAsiaTheme="minorEastAsia"/>
          <w:sz w:val="20"/>
          <w:szCs w:val="20"/>
        </w:rPr>
      </w:pPr>
    </w:p>
    <w:p>
      <w:pPr>
        <w:pStyle w:val="2"/>
        <w:rPr>
          <w:rFonts w:asciiTheme="minorEastAsia" w:hAnsiTheme="minorEastAsia" w:eastAsiaTheme="minorEastAsia"/>
          <w:sz w:val="20"/>
          <w:szCs w:val="20"/>
        </w:rPr>
      </w:pPr>
    </w:p>
    <w:p>
      <w:pPr>
        <w:pStyle w:val="2"/>
        <w:rPr>
          <w:rFonts w:asciiTheme="minorEastAsia" w:hAnsiTheme="minorEastAsia" w:eastAsiaTheme="minorEastAsia"/>
          <w:sz w:val="20"/>
          <w:szCs w:val="20"/>
        </w:rPr>
      </w:pPr>
    </w:p>
    <w:p>
      <w:pPr>
        <w:pStyle w:val="2"/>
        <w:rPr>
          <w:rFonts w:asciiTheme="minorEastAsia" w:hAnsiTheme="minorEastAsia" w:eastAsiaTheme="minorEastAsia"/>
          <w:sz w:val="20"/>
          <w:szCs w:val="20"/>
        </w:rPr>
      </w:pPr>
    </w:p>
    <w:p>
      <w:pPr>
        <w:pStyle w:val="2"/>
        <w:rPr>
          <w:rFonts w:asciiTheme="minorEastAsia" w:hAnsiTheme="minorEastAsia" w:eastAsiaTheme="minorEastAsia"/>
          <w:sz w:val="20"/>
          <w:szCs w:val="20"/>
        </w:rPr>
      </w:pPr>
    </w:p>
    <w:p>
      <w:pPr>
        <w:pStyle w:val="2"/>
        <w:rPr>
          <w:rFonts w:asciiTheme="minorEastAsia" w:hAnsiTheme="minorEastAsia" w:eastAsiaTheme="minorEastAsia"/>
          <w:sz w:val="20"/>
          <w:szCs w:val="20"/>
        </w:rPr>
      </w:pPr>
    </w:p>
    <w:p>
      <w:pPr>
        <w:pStyle w:val="2"/>
        <w:rPr>
          <w:rFonts w:asciiTheme="minorEastAsia" w:hAnsiTheme="minorEastAsia" w:eastAsiaTheme="minorEastAsia"/>
          <w:sz w:val="20"/>
          <w:szCs w:val="20"/>
        </w:rPr>
      </w:pPr>
    </w:p>
    <w:p>
      <w:pPr>
        <w:pStyle w:val="2"/>
        <w:rPr>
          <w:rFonts w:asciiTheme="minorEastAsia" w:hAnsiTheme="minorEastAsia" w:eastAsiaTheme="minorEastAsia"/>
          <w:sz w:val="20"/>
          <w:szCs w:val="20"/>
        </w:rPr>
      </w:pPr>
    </w:p>
    <w:p>
      <w:pPr>
        <w:pStyle w:val="2"/>
        <w:rPr>
          <w:rFonts w:asciiTheme="minorEastAsia" w:hAnsiTheme="minorEastAsia" w:eastAsiaTheme="minorEastAsia"/>
          <w:sz w:val="20"/>
          <w:szCs w:val="20"/>
        </w:rPr>
      </w:pPr>
    </w:p>
    <w:p>
      <w:pPr>
        <w:pStyle w:val="2"/>
        <w:rPr>
          <w:rFonts w:asciiTheme="minorEastAsia" w:hAnsiTheme="minorEastAsia" w:eastAsiaTheme="minorEastAsia"/>
          <w:sz w:val="20"/>
          <w:szCs w:val="20"/>
        </w:rPr>
      </w:pPr>
    </w:p>
    <w:p>
      <w:pPr>
        <w:pStyle w:val="2"/>
        <w:rPr>
          <w:rFonts w:asciiTheme="minorEastAsia" w:hAnsiTheme="minorEastAsia" w:eastAsiaTheme="minorEastAsia"/>
          <w:sz w:val="20"/>
          <w:szCs w:val="20"/>
        </w:rPr>
      </w:pPr>
    </w:p>
    <w:p>
      <w:pPr>
        <w:pStyle w:val="2"/>
        <w:rPr>
          <w:rFonts w:asciiTheme="minorEastAsia" w:hAnsiTheme="minorEastAsia" w:eastAsiaTheme="minorEastAsia"/>
          <w:sz w:val="20"/>
          <w:szCs w:val="20"/>
        </w:rPr>
      </w:pPr>
    </w:p>
    <w:p>
      <w:pPr>
        <w:pStyle w:val="2"/>
        <w:rPr>
          <w:rFonts w:asciiTheme="minorEastAsia" w:hAnsiTheme="minorEastAsia" w:eastAsiaTheme="minorEastAsia"/>
          <w:sz w:val="20"/>
          <w:szCs w:val="20"/>
        </w:rPr>
      </w:pPr>
    </w:p>
    <w:p>
      <w:pPr>
        <w:pStyle w:val="2"/>
        <w:rPr>
          <w:rFonts w:asciiTheme="minorEastAsia" w:hAnsiTheme="minorEastAsia" w:eastAsiaTheme="minorEastAsia"/>
          <w:sz w:val="20"/>
          <w:szCs w:val="20"/>
        </w:rPr>
      </w:pPr>
    </w:p>
    <w:p>
      <w:pPr>
        <w:pStyle w:val="2"/>
        <w:rPr>
          <w:rFonts w:asciiTheme="minorEastAsia" w:hAnsiTheme="minorEastAsia" w:eastAsiaTheme="minorEastAsia"/>
          <w:sz w:val="20"/>
          <w:szCs w:val="20"/>
        </w:rPr>
      </w:pPr>
    </w:p>
    <w:tbl>
      <w:tblPr>
        <w:tblStyle w:val="17"/>
        <w:tblW w:w="0" w:type="auto"/>
        <w:tblInd w:w="-1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95"/>
        <w:gridCol w:w="2623"/>
        <w:gridCol w:w="578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3" w:hRule="atLeast"/>
        </w:trPr>
        <w:tc>
          <w:tcPr>
            <w:tcW w:w="795" w:type="dxa"/>
            <w:vMerge w:val="restart"/>
          </w:tcPr>
          <w:p>
            <w:pPr>
              <w:pStyle w:val="2"/>
              <w:ind w:left="10"/>
              <w:rPr>
                <w:rFonts w:asciiTheme="minorEastAsia" w:hAnsiTheme="minorEastAsia" w:eastAsiaTheme="minorEastAsia"/>
                <w:sz w:val="20"/>
                <w:szCs w:val="20"/>
              </w:rPr>
            </w:pPr>
          </w:p>
          <w:p>
            <w:pPr>
              <w:pStyle w:val="2"/>
              <w:ind w:left="10"/>
              <w:rPr>
                <w:rFonts w:asciiTheme="minorEastAsia" w:hAnsiTheme="minorEastAsia" w:eastAsiaTheme="minorEastAsia"/>
                <w:sz w:val="20"/>
                <w:szCs w:val="20"/>
              </w:rPr>
            </w:pPr>
          </w:p>
          <w:p>
            <w:pPr>
              <w:pStyle w:val="2"/>
              <w:ind w:left="10"/>
              <w:rPr>
                <w:rFonts w:asciiTheme="minorEastAsia" w:hAnsiTheme="minorEastAsia" w:eastAsiaTheme="minorEastAsia"/>
                <w:sz w:val="20"/>
                <w:szCs w:val="20"/>
              </w:rPr>
            </w:pPr>
          </w:p>
          <w:p>
            <w:pPr>
              <w:pStyle w:val="2"/>
              <w:ind w:left="10"/>
              <w:rPr>
                <w:rFonts w:asciiTheme="minorEastAsia" w:hAnsiTheme="minorEastAsia" w:eastAsiaTheme="minorEastAsia"/>
                <w:sz w:val="20"/>
                <w:szCs w:val="20"/>
              </w:rPr>
            </w:pPr>
          </w:p>
          <w:p>
            <w:pPr>
              <w:pStyle w:val="2"/>
              <w:ind w:left="10"/>
              <w:rPr>
                <w:rFonts w:asciiTheme="minorEastAsia" w:hAnsiTheme="minorEastAsia" w:eastAsiaTheme="minorEastAsia"/>
                <w:sz w:val="20"/>
                <w:szCs w:val="20"/>
              </w:rPr>
            </w:pPr>
          </w:p>
          <w:p>
            <w:pPr>
              <w:pStyle w:val="2"/>
              <w:ind w:left="10"/>
              <w:rPr>
                <w:rFonts w:asciiTheme="minorEastAsia" w:hAnsiTheme="minorEastAsia" w:eastAsiaTheme="minorEastAsia"/>
                <w:sz w:val="20"/>
                <w:szCs w:val="20"/>
              </w:rPr>
            </w:pPr>
          </w:p>
          <w:p>
            <w:pPr>
              <w:pStyle w:val="2"/>
              <w:ind w:left="10"/>
              <w:rPr>
                <w:rFonts w:asciiTheme="minorEastAsia" w:hAnsiTheme="minorEastAsia" w:eastAsiaTheme="minorEastAsia"/>
                <w:sz w:val="20"/>
                <w:szCs w:val="20"/>
              </w:rPr>
            </w:pPr>
          </w:p>
          <w:p>
            <w:pPr>
              <w:pStyle w:val="2"/>
              <w:ind w:left="10"/>
              <w:rPr>
                <w:rFonts w:asciiTheme="minorEastAsia" w:hAnsiTheme="minorEastAsia" w:eastAsiaTheme="minorEastAsia"/>
                <w:sz w:val="20"/>
                <w:szCs w:val="20"/>
              </w:rPr>
            </w:pPr>
          </w:p>
          <w:p>
            <w:pPr>
              <w:pStyle w:val="2"/>
              <w:ind w:left="10"/>
              <w:rPr>
                <w:rFonts w:asciiTheme="minorEastAsia" w:hAnsiTheme="minorEastAsia" w:eastAsiaTheme="minorEastAsia"/>
                <w:sz w:val="20"/>
                <w:szCs w:val="20"/>
              </w:rPr>
            </w:pPr>
          </w:p>
          <w:p>
            <w:pPr>
              <w:pStyle w:val="2"/>
              <w:ind w:left="10"/>
              <w:rPr>
                <w:rFonts w:asciiTheme="minorEastAsia" w:hAnsiTheme="minorEastAsia" w:eastAsiaTheme="minorEastAsia"/>
                <w:sz w:val="20"/>
                <w:szCs w:val="20"/>
              </w:rPr>
            </w:pPr>
            <w:r>
              <w:rPr>
                <w:rFonts w:asciiTheme="minorEastAsia" w:hAnsiTheme="minorEastAsia" w:eastAsiaTheme="minorEastAsia"/>
                <w:sz w:val="20"/>
                <w:szCs w:val="20"/>
              </w:rPr>
              <w:t>使用 操作 注意 事项</w:t>
            </w:r>
          </w:p>
          <w:p>
            <w:pPr>
              <w:pStyle w:val="2"/>
              <w:ind w:left="10"/>
              <w:rPr>
                <w:rFonts w:asciiTheme="minorEastAsia" w:hAnsiTheme="minorEastAsia" w:eastAsiaTheme="minorEastAsia"/>
                <w:sz w:val="20"/>
                <w:szCs w:val="20"/>
              </w:rPr>
            </w:pPr>
          </w:p>
          <w:p>
            <w:pPr>
              <w:pStyle w:val="2"/>
              <w:ind w:left="10"/>
              <w:rPr>
                <w:rFonts w:asciiTheme="minorEastAsia" w:hAnsiTheme="minorEastAsia" w:eastAsiaTheme="minorEastAsia"/>
                <w:sz w:val="20"/>
                <w:szCs w:val="20"/>
              </w:rPr>
            </w:pPr>
          </w:p>
          <w:p>
            <w:pPr>
              <w:pStyle w:val="2"/>
              <w:ind w:left="10"/>
              <w:rPr>
                <w:rFonts w:asciiTheme="minorEastAsia" w:hAnsiTheme="minorEastAsia" w:eastAsiaTheme="minorEastAsia"/>
                <w:sz w:val="20"/>
                <w:szCs w:val="20"/>
              </w:rPr>
            </w:pPr>
          </w:p>
          <w:p>
            <w:pPr>
              <w:pStyle w:val="2"/>
              <w:ind w:left="10"/>
              <w:rPr>
                <w:rFonts w:asciiTheme="minorEastAsia" w:hAnsiTheme="minorEastAsia" w:eastAsiaTheme="minorEastAsia"/>
                <w:sz w:val="20"/>
                <w:szCs w:val="20"/>
              </w:rPr>
            </w:pPr>
          </w:p>
          <w:p>
            <w:pPr>
              <w:pStyle w:val="2"/>
              <w:rPr>
                <w:rFonts w:asciiTheme="minorEastAsia" w:hAnsiTheme="minorEastAsia" w:eastAsiaTheme="minorEastAsia"/>
                <w:sz w:val="20"/>
                <w:szCs w:val="20"/>
              </w:rPr>
            </w:pPr>
          </w:p>
        </w:tc>
        <w:tc>
          <w:tcPr>
            <w:tcW w:w="2623" w:type="dxa"/>
            <w:shd w:val="clear" w:color="auto" w:fill="auto"/>
          </w:tcPr>
          <w:p>
            <w:pPr>
              <w:widowControl/>
              <w:jc w:val="left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/>
                <w:sz w:val="20"/>
                <w:szCs w:val="20"/>
              </w:rPr>
              <w:t>静电防护</w:t>
            </w:r>
          </w:p>
        </w:tc>
        <w:tc>
          <w:tcPr>
            <w:tcW w:w="5780" w:type="dxa"/>
            <w:shd w:val="clear" w:color="auto" w:fill="auto"/>
          </w:tcPr>
          <w:p>
            <w:pPr>
              <w:widowControl/>
              <w:jc w:val="left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/>
                <w:sz w:val="20"/>
                <w:szCs w:val="20"/>
              </w:rPr>
              <w:t>安装人员必需配带静电手环和静电手套，装配过程中各种工具必 须严格接地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4" w:hRule="atLeast"/>
        </w:trPr>
        <w:tc>
          <w:tcPr>
            <w:tcW w:w="795" w:type="dxa"/>
            <w:vMerge w:val="continue"/>
          </w:tcPr>
          <w:p>
            <w:pPr>
              <w:pStyle w:val="2"/>
              <w:ind w:left="10"/>
              <w:rPr>
                <w:rFonts w:asciiTheme="minorEastAsia" w:hAnsiTheme="minorEastAsia" w:eastAsiaTheme="minorEastAsia"/>
                <w:sz w:val="20"/>
                <w:szCs w:val="20"/>
              </w:rPr>
            </w:pPr>
          </w:p>
        </w:tc>
        <w:tc>
          <w:tcPr>
            <w:tcW w:w="2623" w:type="dxa"/>
            <w:shd w:val="clear" w:color="auto" w:fill="auto"/>
          </w:tcPr>
          <w:p>
            <w:pPr>
              <w:widowControl/>
              <w:jc w:val="left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/>
                <w:sz w:val="20"/>
                <w:szCs w:val="20"/>
              </w:rPr>
              <w:t>产品批号管控</w:t>
            </w:r>
          </w:p>
        </w:tc>
        <w:tc>
          <w:tcPr>
            <w:tcW w:w="5780" w:type="dxa"/>
            <w:shd w:val="clear" w:color="auto" w:fill="auto"/>
          </w:tcPr>
          <w:p>
            <w:pPr>
              <w:widowControl/>
              <w:jc w:val="left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/>
                <w:sz w:val="20"/>
                <w:szCs w:val="20"/>
              </w:rPr>
              <w:t>不同批号的产品不能装在一个屏上，否则显示屏上将会产生色块 （马赛克）现象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0" w:hRule="atLeast"/>
        </w:trPr>
        <w:tc>
          <w:tcPr>
            <w:tcW w:w="795" w:type="dxa"/>
            <w:vMerge w:val="continue"/>
          </w:tcPr>
          <w:p>
            <w:pPr>
              <w:pStyle w:val="2"/>
              <w:ind w:left="10"/>
              <w:rPr>
                <w:rFonts w:asciiTheme="minorEastAsia" w:hAnsiTheme="minorEastAsia" w:eastAsiaTheme="minorEastAsia"/>
                <w:sz w:val="20"/>
                <w:szCs w:val="20"/>
              </w:rPr>
            </w:pPr>
          </w:p>
        </w:tc>
        <w:tc>
          <w:tcPr>
            <w:tcW w:w="2623" w:type="dxa"/>
            <w:shd w:val="clear" w:color="auto" w:fill="auto"/>
          </w:tcPr>
          <w:p>
            <w:pPr>
              <w:widowControl/>
              <w:jc w:val="left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/>
                <w:sz w:val="20"/>
                <w:szCs w:val="20"/>
              </w:rPr>
              <w:t>产品接线</w:t>
            </w:r>
          </w:p>
        </w:tc>
        <w:tc>
          <w:tcPr>
            <w:tcW w:w="5780" w:type="dxa"/>
            <w:shd w:val="clear" w:color="auto" w:fill="auto"/>
          </w:tcPr>
          <w:p>
            <w:pPr>
              <w:widowControl/>
              <w:jc w:val="left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/>
                <w:sz w:val="20"/>
                <w:szCs w:val="20"/>
              </w:rPr>
              <w:t>单元板不能直接接入 220V，单元板供电正负极不能接反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4" w:hRule="atLeast"/>
        </w:trPr>
        <w:tc>
          <w:tcPr>
            <w:tcW w:w="795" w:type="dxa"/>
            <w:vMerge w:val="continue"/>
          </w:tcPr>
          <w:p>
            <w:pPr>
              <w:pStyle w:val="2"/>
              <w:ind w:left="10"/>
              <w:rPr>
                <w:rFonts w:asciiTheme="minorEastAsia" w:hAnsiTheme="minorEastAsia" w:eastAsiaTheme="minorEastAsia"/>
                <w:sz w:val="20"/>
                <w:szCs w:val="20"/>
              </w:rPr>
            </w:pPr>
          </w:p>
        </w:tc>
        <w:tc>
          <w:tcPr>
            <w:tcW w:w="2623" w:type="dxa"/>
            <w:shd w:val="clear" w:color="auto" w:fill="auto"/>
          </w:tcPr>
          <w:p>
            <w:pPr>
              <w:widowControl/>
              <w:jc w:val="left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/>
                <w:sz w:val="20"/>
                <w:szCs w:val="20"/>
              </w:rPr>
              <w:t>拆装与运输过程</w:t>
            </w:r>
          </w:p>
        </w:tc>
        <w:tc>
          <w:tcPr>
            <w:tcW w:w="5780" w:type="dxa"/>
            <w:shd w:val="clear" w:color="auto" w:fill="auto"/>
          </w:tcPr>
          <w:p>
            <w:pPr>
              <w:widowControl/>
              <w:jc w:val="left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/>
                <w:sz w:val="20"/>
                <w:szCs w:val="20"/>
              </w:rPr>
              <w:t>不得摔、推、挤、压单元板，以免损坏显示屏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1" w:hRule="atLeast"/>
        </w:trPr>
        <w:tc>
          <w:tcPr>
            <w:tcW w:w="795" w:type="dxa"/>
            <w:vMerge w:val="continue"/>
          </w:tcPr>
          <w:p>
            <w:pPr>
              <w:pStyle w:val="2"/>
              <w:ind w:left="10"/>
              <w:rPr>
                <w:rFonts w:asciiTheme="minorEastAsia" w:hAnsiTheme="minorEastAsia" w:eastAsiaTheme="minorEastAsia"/>
                <w:sz w:val="20"/>
                <w:szCs w:val="20"/>
              </w:rPr>
            </w:pPr>
          </w:p>
        </w:tc>
        <w:tc>
          <w:tcPr>
            <w:tcW w:w="2623" w:type="dxa"/>
            <w:shd w:val="clear" w:color="auto" w:fill="auto"/>
          </w:tcPr>
          <w:p>
            <w:pPr>
              <w:widowControl/>
              <w:jc w:val="left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/>
                <w:sz w:val="20"/>
                <w:szCs w:val="20"/>
              </w:rPr>
              <w:t>拆装维护液体防护</w:t>
            </w:r>
          </w:p>
        </w:tc>
        <w:tc>
          <w:tcPr>
            <w:tcW w:w="5780" w:type="dxa"/>
            <w:shd w:val="clear" w:color="auto" w:fill="auto"/>
          </w:tcPr>
          <w:p>
            <w:pPr>
              <w:widowControl/>
              <w:jc w:val="left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/>
                <w:sz w:val="20"/>
                <w:szCs w:val="20"/>
              </w:rPr>
              <w:t>拆装作业时不能有汗液或其它液体滴到显示屏上，如有滴到需要 酒精清洗产品滴液位置，防止液体腐蚀致产品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2" w:hRule="atLeast"/>
        </w:trPr>
        <w:tc>
          <w:tcPr>
            <w:tcW w:w="795" w:type="dxa"/>
            <w:vMerge w:val="continue"/>
          </w:tcPr>
          <w:p>
            <w:pPr>
              <w:pStyle w:val="2"/>
              <w:ind w:left="10"/>
              <w:rPr>
                <w:rFonts w:asciiTheme="minorEastAsia" w:hAnsiTheme="minorEastAsia" w:eastAsiaTheme="minorEastAsia"/>
                <w:sz w:val="20"/>
                <w:szCs w:val="20"/>
              </w:rPr>
            </w:pPr>
          </w:p>
        </w:tc>
        <w:tc>
          <w:tcPr>
            <w:tcW w:w="2623" w:type="dxa"/>
            <w:shd w:val="clear" w:color="auto" w:fill="auto"/>
          </w:tcPr>
          <w:p>
            <w:pPr>
              <w:widowControl/>
              <w:jc w:val="left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/>
                <w:sz w:val="20"/>
                <w:szCs w:val="20"/>
              </w:rPr>
              <w:t>安装扭力控制</w:t>
            </w:r>
          </w:p>
        </w:tc>
        <w:tc>
          <w:tcPr>
            <w:tcW w:w="5780" w:type="dxa"/>
            <w:shd w:val="clear" w:color="auto" w:fill="auto"/>
          </w:tcPr>
          <w:p>
            <w:pPr>
              <w:widowControl/>
              <w:jc w:val="left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/>
                <w:sz w:val="20"/>
                <w:szCs w:val="20"/>
              </w:rPr>
              <w:t>电源接线时需确保端子接头螺丝拧紧，防止接头位置松动，导致 接触电阻大引起烧线或产品损坏问题，M4 螺丝扭矩 6.0－8.0 Kgf.cm ，M3 螺丝扭矩 4.0－6.0 Kgf.cm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4" w:hRule="atLeast"/>
        </w:trPr>
        <w:tc>
          <w:tcPr>
            <w:tcW w:w="795" w:type="dxa"/>
            <w:vMerge w:val="continue"/>
          </w:tcPr>
          <w:p>
            <w:pPr>
              <w:pStyle w:val="2"/>
              <w:ind w:left="10"/>
              <w:rPr>
                <w:rFonts w:asciiTheme="minorEastAsia" w:hAnsiTheme="minorEastAsia" w:eastAsiaTheme="minorEastAsia"/>
                <w:sz w:val="20"/>
                <w:szCs w:val="20"/>
              </w:rPr>
            </w:pPr>
          </w:p>
        </w:tc>
        <w:tc>
          <w:tcPr>
            <w:tcW w:w="2623" w:type="dxa"/>
            <w:shd w:val="clear" w:color="auto" w:fill="auto"/>
          </w:tcPr>
          <w:p>
            <w:pPr>
              <w:widowControl/>
              <w:jc w:val="left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/>
                <w:sz w:val="20"/>
                <w:szCs w:val="20"/>
              </w:rPr>
              <w:t>禁止带电作业</w:t>
            </w:r>
          </w:p>
        </w:tc>
        <w:tc>
          <w:tcPr>
            <w:tcW w:w="5780" w:type="dxa"/>
            <w:shd w:val="clear" w:color="auto" w:fill="auto"/>
          </w:tcPr>
          <w:p>
            <w:pPr>
              <w:widowControl/>
              <w:jc w:val="left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/>
                <w:sz w:val="20"/>
                <w:szCs w:val="20"/>
              </w:rPr>
              <w:t>禁止在通电情况下拼装单元板，应将主电输入断开情况下进行单 元板上墙拼装，不允许带插入电源线和信号线拼装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2" w:hRule="atLeast"/>
        </w:trPr>
        <w:tc>
          <w:tcPr>
            <w:tcW w:w="795" w:type="dxa"/>
            <w:vMerge w:val="continue"/>
          </w:tcPr>
          <w:p>
            <w:pPr>
              <w:pStyle w:val="2"/>
              <w:ind w:left="10"/>
              <w:rPr>
                <w:rFonts w:asciiTheme="minorEastAsia" w:hAnsiTheme="minorEastAsia" w:eastAsiaTheme="minorEastAsia"/>
                <w:sz w:val="20"/>
                <w:szCs w:val="20"/>
              </w:rPr>
            </w:pPr>
          </w:p>
        </w:tc>
        <w:tc>
          <w:tcPr>
            <w:tcW w:w="2623" w:type="dxa"/>
            <w:shd w:val="clear" w:color="auto" w:fill="auto"/>
          </w:tcPr>
          <w:p>
            <w:pPr>
              <w:widowControl/>
              <w:jc w:val="left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/>
                <w:sz w:val="20"/>
                <w:szCs w:val="20"/>
              </w:rPr>
              <w:t>禁止带电触摸</w:t>
            </w:r>
          </w:p>
        </w:tc>
        <w:tc>
          <w:tcPr>
            <w:tcW w:w="5780" w:type="dxa"/>
            <w:shd w:val="clear" w:color="auto" w:fill="auto"/>
          </w:tcPr>
          <w:p>
            <w:pPr>
              <w:widowControl/>
              <w:jc w:val="left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/>
                <w:sz w:val="20"/>
                <w:szCs w:val="20"/>
              </w:rPr>
              <w:t>屏体点亮使用中禁止人员去触碰和触摸 LED 显示屏，以免人体摩 擦产生的静电击穿 LED 灯及芯片等元器件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16" w:hRule="atLeast"/>
        </w:trPr>
        <w:tc>
          <w:tcPr>
            <w:tcW w:w="795" w:type="dxa"/>
            <w:vMerge w:val="continue"/>
          </w:tcPr>
          <w:p>
            <w:pPr>
              <w:pStyle w:val="2"/>
              <w:ind w:left="10"/>
              <w:rPr>
                <w:rFonts w:asciiTheme="minorEastAsia" w:hAnsiTheme="minorEastAsia" w:eastAsiaTheme="minorEastAsia"/>
                <w:sz w:val="20"/>
                <w:szCs w:val="20"/>
              </w:rPr>
            </w:pPr>
          </w:p>
        </w:tc>
        <w:tc>
          <w:tcPr>
            <w:tcW w:w="2623" w:type="dxa"/>
            <w:shd w:val="clear" w:color="auto" w:fill="auto"/>
          </w:tcPr>
          <w:p>
            <w:pPr>
              <w:widowControl/>
              <w:jc w:val="left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/>
                <w:sz w:val="20"/>
                <w:szCs w:val="20"/>
              </w:rPr>
              <w:t>环境检查</w:t>
            </w:r>
          </w:p>
        </w:tc>
        <w:tc>
          <w:tcPr>
            <w:tcW w:w="5780" w:type="dxa"/>
            <w:shd w:val="clear" w:color="auto" w:fill="auto"/>
          </w:tcPr>
          <w:p>
            <w:pPr>
              <w:widowControl/>
              <w:jc w:val="left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/>
                <w:sz w:val="20"/>
                <w:szCs w:val="20"/>
              </w:rPr>
              <w:t>显示屏安装现场需配置温湿度计，及时监控屏体周围环境情况， 大雨过后，应及时检查显示屏内部是否有受潮、水珠、水气等问 题</w:t>
            </w:r>
          </w:p>
        </w:tc>
      </w:tr>
    </w:tbl>
    <w:p>
      <w:pPr>
        <w:pStyle w:val="3"/>
        <w:rPr>
          <w:rFonts w:ascii="微软雅黑" w:hAnsi="微软雅黑" w:eastAsia="微软雅黑" w:cs="微软雅黑"/>
          <w:sz w:val="36"/>
          <w:szCs w:val="36"/>
        </w:rPr>
      </w:pPr>
      <w:bookmarkStart w:id="3" w:name="_Toc24293"/>
      <w:r>
        <w:rPr>
          <w:rFonts w:hint="eastAsia" w:ascii="微软雅黑" w:hAnsi="微软雅黑" w:eastAsia="微软雅黑" w:cs="微软雅黑"/>
          <w:sz w:val="36"/>
          <w:szCs w:val="36"/>
        </w:rPr>
        <w:t>三、产品说明</w:t>
      </w:r>
      <w:bookmarkEnd w:id="3"/>
    </w:p>
    <w:p>
      <w:pPr>
        <w:pStyle w:val="27"/>
        <w:numPr>
          <w:ilvl w:val="0"/>
          <w:numId w:val="2"/>
        </w:numPr>
        <w:ind w:firstLineChars="0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t>产品特点</w:t>
      </w:r>
    </w:p>
    <w:p>
      <w:pPr>
        <w:pStyle w:val="27"/>
        <w:numPr>
          <w:ilvl w:val="0"/>
          <w:numId w:val="3"/>
        </w:numPr>
        <w:ind w:firstLineChars="0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t>优质灯管，灯管亮度利用率高，同时保障灯管使用寿命和优质的塑胶件</w:t>
      </w:r>
    </w:p>
    <w:p>
      <w:pPr>
        <w:pStyle w:val="27"/>
        <w:numPr>
          <w:ilvl w:val="0"/>
          <w:numId w:val="3"/>
        </w:numPr>
        <w:ind w:firstLineChars="0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t>高对比度可达到良好的显示效果</w:t>
      </w:r>
    </w:p>
    <w:p>
      <w:pPr>
        <w:pStyle w:val="27"/>
        <w:numPr>
          <w:ilvl w:val="0"/>
          <w:numId w:val="3"/>
        </w:numPr>
        <w:ind w:firstLineChars="0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t>重量轻、易于安装、拆卸</w:t>
      </w:r>
    </w:p>
    <w:p>
      <w:pPr>
        <w:pStyle w:val="27"/>
        <w:numPr>
          <w:ilvl w:val="0"/>
          <w:numId w:val="3"/>
        </w:numPr>
        <w:ind w:firstLineChars="0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t>可进行单点、单灯维护，成本低</w:t>
      </w:r>
    </w:p>
    <w:p>
      <w:pPr>
        <w:pStyle w:val="27"/>
        <w:numPr>
          <w:ilvl w:val="0"/>
          <w:numId w:val="3"/>
        </w:numPr>
        <w:ind w:firstLineChars="0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t>采用恒流方式驱动 LED，发光均匀，功耗低</w:t>
      </w:r>
    </w:p>
    <w:p>
      <w:pPr>
        <w:pStyle w:val="27"/>
        <w:numPr>
          <w:ilvl w:val="0"/>
          <w:numId w:val="2"/>
        </w:numPr>
        <w:ind w:firstLineChars="0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t>单元板图片</w:t>
      </w:r>
    </w:p>
    <w:p>
      <w:r>
        <w:drawing>
          <wp:inline distT="0" distB="0" distL="0" distR="0">
            <wp:extent cx="4271645" cy="175260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83081" cy="1757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rFonts w:ascii="微软雅黑" w:hAnsi="微软雅黑" w:eastAsia="微软雅黑" w:cs="微软雅黑"/>
          <w:sz w:val="36"/>
          <w:szCs w:val="36"/>
        </w:rPr>
      </w:pPr>
      <w:bookmarkStart w:id="4" w:name="_Toc23658"/>
      <w:r>
        <w:rPr>
          <w:rFonts w:hint="eastAsia" w:ascii="微软雅黑" w:hAnsi="微软雅黑" w:eastAsia="微软雅黑" w:cs="微软雅黑"/>
          <w:sz w:val="36"/>
          <w:szCs w:val="36"/>
        </w:rPr>
        <w:t>四、产品技术要求</w:t>
      </w:r>
      <w:bookmarkEnd w:id="4"/>
    </w:p>
    <w:tbl>
      <w:tblPr>
        <w:tblStyle w:val="18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478"/>
        <w:gridCol w:w="2478"/>
        <w:gridCol w:w="2478"/>
        <w:gridCol w:w="247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78" w:type="dxa"/>
          </w:tcPr>
          <w:p>
            <w:pPr>
              <w:rPr>
                <w:rFonts w:asciiTheme="minorEastAsia" w:hAnsiTheme="minorEastAsia" w:eastAsiaTheme="minorEastAsia"/>
                <w:sz w:val="20"/>
                <w:szCs w:val="20"/>
              </w:rPr>
            </w:pPr>
            <w:r>
              <w:rPr>
                <w:rFonts w:asciiTheme="minorEastAsia" w:hAnsiTheme="minorEastAsia" w:eastAsiaTheme="minorEastAsia"/>
                <w:sz w:val="20"/>
                <w:szCs w:val="20"/>
              </w:rPr>
              <w:t>像数点间距</w:t>
            </w:r>
          </w:p>
        </w:tc>
        <w:tc>
          <w:tcPr>
            <w:tcW w:w="2478" w:type="dxa"/>
          </w:tcPr>
          <w:p>
            <w:pPr>
              <w:rPr>
                <w:rFonts w:asciiTheme="minorEastAsia" w:hAnsiTheme="minorEastAsia" w:eastAsiaTheme="minorEastAsia"/>
                <w:sz w:val="20"/>
                <w:szCs w:val="20"/>
              </w:rPr>
            </w:pPr>
            <w:r>
              <w:rPr>
                <w:rFonts w:asciiTheme="minorEastAsia" w:hAnsiTheme="minorEastAsia" w:eastAsiaTheme="minorEastAsia"/>
                <w:sz w:val="20"/>
                <w:szCs w:val="20"/>
              </w:rPr>
              <w:t>2.5mm</w:t>
            </w:r>
          </w:p>
        </w:tc>
        <w:tc>
          <w:tcPr>
            <w:tcW w:w="2478" w:type="dxa"/>
          </w:tcPr>
          <w:p>
            <w:pPr>
              <w:rPr>
                <w:rFonts w:asciiTheme="minorEastAsia" w:hAnsiTheme="minorEastAsia" w:eastAsiaTheme="minorEastAsia"/>
                <w:sz w:val="20"/>
                <w:szCs w:val="20"/>
              </w:rPr>
            </w:pPr>
            <w:r>
              <w:rPr>
                <w:rFonts w:asciiTheme="minorEastAsia" w:hAnsiTheme="minorEastAsia" w:eastAsiaTheme="minorEastAsia"/>
                <w:sz w:val="20"/>
                <w:szCs w:val="20"/>
              </w:rPr>
              <w:t>像素密度</w:t>
            </w:r>
          </w:p>
        </w:tc>
        <w:tc>
          <w:tcPr>
            <w:tcW w:w="2478" w:type="dxa"/>
          </w:tcPr>
          <w:p>
            <w:pPr>
              <w:rPr>
                <w:rFonts w:asciiTheme="minorEastAsia" w:hAnsiTheme="minorEastAsia" w:eastAsiaTheme="minorEastAsia"/>
                <w:sz w:val="20"/>
                <w:szCs w:val="20"/>
              </w:rPr>
            </w:pPr>
            <w:r>
              <w:rPr>
                <w:rFonts w:asciiTheme="minorEastAsia" w:hAnsiTheme="minorEastAsia" w:eastAsiaTheme="minorEastAsia"/>
                <w:sz w:val="20"/>
                <w:szCs w:val="20"/>
              </w:rPr>
              <w:t>160000</w:t>
            </w:r>
            <w:r>
              <w:rPr>
                <w:rFonts w:ascii="宋体" w:hAnsi="宋体" w:eastAsia="宋体"/>
                <w:sz w:val="20"/>
                <w:szCs w:val="20"/>
              </w:rPr>
              <w:t>Pixels/m2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78" w:type="dxa"/>
          </w:tcPr>
          <w:p>
            <w:pPr>
              <w:rPr>
                <w:rFonts w:asciiTheme="minorEastAsia" w:hAnsiTheme="minorEastAsia" w:eastAsiaTheme="minorEastAsia"/>
                <w:sz w:val="20"/>
                <w:szCs w:val="20"/>
              </w:rPr>
            </w:pPr>
            <w:r>
              <w:rPr>
                <w:rFonts w:hint="eastAsia" w:asciiTheme="minorEastAsia" w:hAnsiTheme="minorEastAsia" w:eastAsiaTheme="minorEastAsia"/>
                <w:sz w:val="20"/>
                <w:szCs w:val="20"/>
              </w:rPr>
              <w:t>刷新频率</w:t>
            </w:r>
          </w:p>
        </w:tc>
        <w:tc>
          <w:tcPr>
            <w:tcW w:w="2478" w:type="dxa"/>
          </w:tcPr>
          <w:p>
            <w:pPr>
              <w:rPr>
                <w:rFonts w:asciiTheme="minorEastAsia" w:hAnsiTheme="minorEastAsia" w:eastAsiaTheme="minorEastAsia"/>
                <w:sz w:val="20"/>
                <w:szCs w:val="20"/>
              </w:rPr>
            </w:pPr>
            <w:r>
              <w:rPr>
                <w:rFonts w:asciiTheme="minorEastAsia" w:hAnsiTheme="minorEastAsia" w:eastAsiaTheme="minorEastAsia"/>
                <w:sz w:val="20"/>
                <w:szCs w:val="20"/>
              </w:rPr>
              <w:t>3840HZ</w:t>
            </w:r>
          </w:p>
        </w:tc>
        <w:tc>
          <w:tcPr>
            <w:tcW w:w="2478" w:type="dxa"/>
          </w:tcPr>
          <w:p>
            <w:pPr>
              <w:rPr>
                <w:rFonts w:asciiTheme="minorEastAsia" w:hAnsiTheme="minorEastAsia" w:eastAsiaTheme="minorEastAsia"/>
                <w:sz w:val="20"/>
                <w:szCs w:val="20"/>
              </w:rPr>
            </w:pPr>
            <w:r>
              <w:rPr>
                <w:rFonts w:asciiTheme="minorEastAsia" w:hAnsiTheme="minorEastAsia" w:eastAsiaTheme="minorEastAsia"/>
                <w:sz w:val="20"/>
                <w:szCs w:val="20"/>
              </w:rPr>
              <w:t>灯管封装</w:t>
            </w:r>
          </w:p>
        </w:tc>
        <w:tc>
          <w:tcPr>
            <w:tcW w:w="2478" w:type="dxa"/>
          </w:tcPr>
          <w:p>
            <w:pPr>
              <w:rPr>
                <w:rFonts w:asciiTheme="minorEastAsia" w:hAnsiTheme="minorEastAsia" w:eastAsiaTheme="minorEastAsia"/>
                <w:sz w:val="20"/>
                <w:szCs w:val="20"/>
              </w:rPr>
            </w:pPr>
            <w:r>
              <w:rPr>
                <w:rFonts w:asciiTheme="minorEastAsia" w:hAnsiTheme="minorEastAsia" w:eastAsiaTheme="minorEastAsia"/>
                <w:sz w:val="20"/>
                <w:szCs w:val="20"/>
              </w:rPr>
              <w:t>SMD2121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78" w:type="dxa"/>
          </w:tcPr>
          <w:p>
            <w:pPr>
              <w:rPr>
                <w:rFonts w:asciiTheme="minorEastAsia" w:hAnsiTheme="minorEastAsia" w:eastAsiaTheme="minorEastAsia"/>
                <w:sz w:val="20"/>
                <w:szCs w:val="20"/>
              </w:rPr>
            </w:pPr>
            <w:r>
              <w:rPr>
                <w:rFonts w:asciiTheme="minorEastAsia" w:hAnsiTheme="minorEastAsia" w:eastAsiaTheme="minorEastAsia"/>
                <w:sz w:val="20"/>
                <w:szCs w:val="20"/>
              </w:rPr>
              <w:t>尺寸(长*宽*厚)</w:t>
            </w:r>
          </w:p>
        </w:tc>
        <w:tc>
          <w:tcPr>
            <w:tcW w:w="2478" w:type="dxa"/>
          </w:tcPr>
          <w:p>
            <w:pPr>
              <w:rPr>
                <w:rFonts w:asciiTheme="minorEastAsia" w:hAnsiTheme="minorEastAsia" w:eastAsiaTheme="minorEastAsia"/>
                <w:sz w:val="20"/>
                <w:szCs w:val="20"/>
              </w:rPr>
            </w:pPr>
            <w:r>
              <w:rPr>
                <w:rFonts w:asciiTheme="minorEastAsia" w:hAnsiTheme="minorEastAsia" w:eastAsiaTheme="minorEastAsia"/>
                <w:sz w:val="20"/>
                <w:szCs w:val="20"/>
              </w:rPr>
              <w:t>320*160*14.5mm</w:t>
            </w:r>
          </w:p>
        </w:tc>
        <w:tc>
          <w:tcPr>
            <w:tcW w:w="2478" w:type="dxa"/>
          </w:tcPr>
          <w:p>
            <w:pPr>
              <w:rPr>
                <w:rFonts w:asciiTheme="minorEastAsia" w:hAnsiTheme="minorEastAsia" w:eastAsiaTheme="minorEastAsia"/>
                <w:sz w:val="20"/>
                <w:szCs w:val="20"/>
              </w:rPr>
            </w:pPr>
            <w:r>
              <w:rPr>
                <w:rFonts w:asciiTheme="minorEastAsia" w:hAnsiTheme="minorEastAsia" w:eastAsiaTheme="minorEastAsia"/>
                <w:sz w:val="20"/>
                <w:szCs w:val="20"/>
              </w:rPr>
              <w:t>重量</w:t>
            </w:r>
          </w:p>
        </w:tc>
        <w:tc>
          <w:tcPr>
            <w:tcW w:w="2478" w:type="dxa"/>
          </w:tcPr>
          <w:p>
            <w:pPr>
              <w:rPr>
                <w:rFonts w:asciiTheme="minorEastAsia" w:hAnsiTheme="minorEastAsia" w:eastAsiaTheme="minorEastAsia"/>
                <w:sz w:val="20"/>
                <w:szCs w:val="20"/>
              </w:rPr>
            </w:pPr>
            <w:r>
              <w:rPr>
                <w:rFonts w:asciiTheme="minorEastAsia" w:hAnsiTheme="minorEastAsia" w:eastAsiaTheme="minorEastAsia"/>
                <w:sz w:val="20"/>
                <w:szCs w:val="20"/>
              </w:rPr>
              <w:t>0.43kg±0.01kg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78" w:type="dxa"/>
          </w:tcPr>
          <w:p>
            <w:pPr>
              <w:rPr>
                <w:rFonts w:asciiTheme="minorEastAsia" w:hAnsiTheme="minorEastAsia" w:eastAsiaTheme="minorEastAsia"/>
                <w:sz w:val="20"/>
                <w:szCs w:val="20"/>
              </w:rPr>
            </w:pPr>
            <w:r>
              <w:rPr>
                <w:rFonts w:asciiTheme="minorEastAsia" w:hAnsiTheme="minorEastAsia" w:eastAsiaTheme="minorEastAsia"/>
                <w:sz w:val="20"/>
                <w:szCs w:val="20"/>
              </w:rPr>
              <w:t>结构特点</w:t>
            </w:r>
          </w:p>
        </w:tc>
        <w:tc>
          <w:tcPr>
            <w:tcW w:w="2478" w:type="dxa"/>
          </w:tcPr>
          <w:p>
            <w:pPr>
              <w:rPr>
                <w:rFonts w:asciiTheme="minorEastAsia" w:hAnsiTheme="minorEastAsia" w:eastAsiaTheme="minorEastAsia"/>
                <w:sz w:val="20"/>
                <w:szCs w:val="20"/>
              </w:rPr>
            </w:pPr>
            <w:r>
              <w:rPr>
                <w:rFonts w:asciiTheme="minorEastAsia" w:hAnsiTheme="minorEastAsia" w:eastAsiaTheme="minorEastAsia"/>
                <w:sz w:val="20"/>
                <w:szCs w:val="20"/>
              </w:rPr>
              <w:t>软连接</w:t>
            </w:r>
          </w:p>
        </w:tc>
        <w:tc>
          <w:tcPr>
            <w:tcW w:w="2478" w:type="dxa"/>
          </w:tcPr>
          <w:p>
            <w:pPr>
              <w:rPr>
                <w:rFonts w:asciiTheme="minorEastAsia" w:hAnsiTheme="minorEastAsia" w:eastAsiaTheme="minorEastAsia"/>
                <w:sz w:val="20"/>
                <w:szCs w:val="20"/>
              </w:rPr>
            </w:pPr>
            <w:r>
              <w:rPr>
                <w:rFonts w:asciiTheme="minorEastAsia" w:hAnsiTheme="minorEastAsia" w:eastAsiaTheme="minorEastAsia"/>
                <w:sz w:val="20"/>
                <w:szCs w:val="20"/>
              </w:rPr>
              <w:t>单元板分辨率</w:t>
            </w:r>
          </w:p>
        </w:tc>
        <w:tc>
          <w:tcPr>
            <w:tcW w:w="2478" w:type="dxa"/>
          </w:tcPr>
          <w:p>
            <w:pPr>
              <w:rPr>
                <w:rFonts w:asciiTheme="minorEastAsia" w:hAnsiTheme="minorEastAsia" w:eastAsiaTheme="minorEastAsia"/>
                <w:sz w:val="20"/>
                <w:szCs w:val="20"/>
              </w:rPr>
            </w:pPr>
            <w:r>
              <w:rPr>
                <w:rFonts w:asciiTheme="minorEastAsia" w:hAnsiTheme="minorEastAsia" w:eastAsiaTheme="minorEastAsia"/>
                <w:sz w:val="20"/>
                <w:szCs w:val="20"/>
              </w:rPr>
              <w:t>128*64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78" w:type="dxa"/>
          </w:tcPr>
          <w:p>
            <w:pPr>
              <w:rPr>
                <w:rFonts w:asciiTheme="minorEastAsia" w:hAnsiTheme="minorEastAsia" w:eastAsiaTheme="minorEastAsia"/>
                <w:sz w:val="20"/>
                <w:szCs w:val="20"/>
              </w:rPr>
            </w:pPr>
            <w:r>
              <w:rPr>
                <w:rFonts w:hint="eastAsia" w:asciiTheme="minorEastAsia" w:hAnsiTheme="minorEastAsia" w:eastAsiaTheme="minorEastAsia"/>
                <w:sz w:val="20"/>
                <w:szCs w:val="20"/>
              </w:rPr>
              <w:t>维护方式</w:t>
            </w:r>
          </w:p>
        </w:tc>
        <w:tc>
          <w:tcPr>
            <w:tcW w:w="2478" w:type="dxa"/>
          </w:tcPr>
          <w:p>
            <w:pPr>
              <w:rPr>
                <w:rFonts w:asciiTheme="minorEastAsia" w:hAnsiTheme="minorEastAsia" w:eastAsiaTheme="minorEastAsia"/>
                <w:sz w:val="20"/>
                <w:szCs w:val="20"/>
              </w:rPr>
            </w:pPr>
            <w:r>
              <w:rPr>
                <w:rFonts w:hint="eastAsia" w:asciiTheme="minorEastAsia" w:hAnsiTheme="minorEastAsia" w:eastAsiaTheme="minorEastAsia"/>
                <w:sz w:val="20"/>
                <w:szCs w:val="20"/>
              </w:rPr>
              <w:t>前维护</w:t>
            </w:r>
          </w:p>
        </w:tc>
        <w:tc>
          <w:tcPr>
            <w:tcW w:w="2478" w:type="dxa"/>
          </w:tcPr>
          <w:p>
            <w:pPr>
              <w:rPr>
                <w:rFonts w:asciiTheme="minorEastAsia" w:hAnsiTheme="minorEastAsia" w:eastAsiaTheme="minorEastAsia"/>
                <w:sz w:val="20"/>
                <w:szCs w:val="20"/>
              </w:rPr>
            </w:pPr>
            <w:r>
              <w:rPr>
                <w:rFonts w:asciiTheme="minorEastAsia" w:hAnsiTheme="minorEastAsia" w:eastAsiaTheme="minorEastAsia"/>
                <w:sz w:val="20"/>
                <w:szCs w:val="20"/>
              </w:rPr>
              <w:t>级联</w:t>
            </w:r>
          </w:p>
        </w:tc>
        <w:tc>
          <w:tcPr>
            <w:tcW w:w="2478" w:type="dxa"/>
          </w:tcPr>
          <w:p>
            <w:pPr>
              <w:rPr>
                <w:rFonts w:asciiTheme="minorEastAsia" w:hAnsiTheme="minorEastAsia" w:eastAsiaTheme="minorEastAsia"/>
                <w:sz w:val="20"/>
                <w:szCs w:val="20"/>
              </w:rPr>
            </w:pPr>
            <w:r>
              <w:rPr>
                <w:rFonts w:hint="eastAsia" w:asciiTheme="minorEastAsia" w:hAnsiTheme="minorEastAsia" w:eastAsiaTheme="minorEastAsia"/>
                <w:sz w:val="20"/>
                <w:szCs w:val="20"/>
              </w:rPr>
              <w:t>高刷可及联</w:t>
            </w:r>
          </w:p>
          <w:p>
            <w:pPr>
              <w:rPr>
                <w:rFonts w:asciiTheme="minorEastAsia" w:hAnsiTheme="minorEastAsia" w:eastAsiaTheme="minorEastAsia"/>
                <w:sz w:val="20"/>
                <w:szCs w:val="20"/>
              </w:rPr>
            </w:pPr>
            <w:r>
              <w:rPr>
                <w:rFonts w:hint="eastAsia" w:asciiTheme="minorEastAsia" w:hAnsiTheme="minorEastAsia" w:eastAsiaTheme="minorEastAsia"/>
                <w:sz w:val="20"/>
                <w:szCs w:val="20"/>
              </w:rPr>
              <w:t>普刷</w:t>
            </w:r>
            <w:r>
              <w:rPr>
                <w:rFonts w:asciiTheme="minorEastAsia" w:hAnsiTheme="minorEastAsia" w:eastAsiaTheme="minorEastAsia"/>
                <w:sz w:val="20"/>
                <w:szCs w:val="20"/>
              </w:rPr>
              <w:t>不可级联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78" w:type="dxa"/>
          </w:tcPr>
          <w:p>
            <w:pPr>
              <w:rPr>
                <w:rFonts w:asciiTheme="minorEastAsia" w:hAnsiTheme="minorEastAsia" w:eastAsiaTheme="minorEastAsia"/>
                <w:sz w:val="20"/>
                <w:szCs w:val="20"/>
              </w:rPr>
            </w:pPr>
            <w:r>
              <w:rPr>
                <w:rFonts w:asciiTheme="minorEastAsia" w:hAnsiTheme="minorEastAsia" w:eastAsiaTheme="minorEastAsia"/>
                <w:sz w:val="20"/>
                <w:szCs w:val="20"/>
              </w:rPr>
              <w:t>单元板功率</w:t>
            </w:r>
          </w:p>
        </w:tc>
        <w:tc>
          <w:tcPr>
            <w:tcW w:w="2478" w:type="dxa"/>
          </w:tcPr>
          <w:p>
            <w:pPr>
              <w:rPr>
                <w:rFonts w:asciiTheme="minorEastAsia" w:hAnsiTheme="minorEastAsia" w:eastAsiaTheme="minorEastAsia"/>
                <w:sz w:val="20"/>
                <w:szCs w:val="20"/>
              </w:rPr>
            </w:pPr>
            <w:r>
              <w:rPr>
                <w:rFonts w:asciiTheme="minorEastAsia" w:hAnsiTheme="minorEastAsia" w:eastAsiaTheme="minorEastAsia"/>
                <w:sz w:val="20"/>
                <w:szCs w:val="20"/>
              </w:rPr>
              <w:t>≤18W</w:t>
            </w:r>
          </w:p>
        </w:tc>
        <w:tc>
          <w:tcPr>
            <w:tcW w:w="2478" w:type="dxa"/>
          </w:tcPr>
          <w:p>
            <w:pPr>
              <w:rPr>
                <w:rFonts w:asciiTheme="minorEastAsia" w:hAnsiTheme="minorEastAsia" w:eastAsiaTheme="minorEastAsia"/>
                <w:sz w:val="20"/>
                <w:szCs w:val="20"/>
              </w:rPr>
            </w:pPr>
            <w:r>
              <w:rPr>
                <w:rFonts w:asciiTheme="minorEastAsia" w:hAnsiTheme="minorEastAsia" w:eastAsiaTheme="minorEastAsia"/>
                <w:sz w:val="20"/>
                <w:szCs w:val="20"/>
              </w:rPr>
              <w:t>驱动方式</w:t>
            </w:r>
          </w:p>
        </w:tc>
        <w:tc>
          <w:tcPr>
            <w:tcW w:w="2478" w:type="dxa"/>
          </w:tcPr>
          <w:p>
            <w:pPr>
              <w:rPr>
                <w:rFonts w:asciiTheme="minorEastAsia" w:hAnsiTheme="minorEastAsia" w:eastAsiaTheme="minorEastAsia"/>
                <w:sz w:val="20"/>
                <w:szCs w:val="20"/>
              </w:rPr>
            </w:pPr>
            <w:r>
              <w:rPr>
                <w:rFonts w:hint="eastAsia" w:asciiTheme="minorEastAsia" w:hAnsiTheme="minorEastAsia" w:eastAsiaTheme="minorEastAsia"/>
                <w:sz w:val="20"/>
                <w:szCs w:val="20"/>
              </w:rPr>
              <w:t>恒流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78" w:type="dxa"/>
          </w:tcPr>
          <w:p>
            <w:pPr>
              <w:rPr>
                <w:rFonts w:asciiTheme="minorEastAsia" w:hAnsiTheme="minorEastAsia" w:eastAsiaTheme="minorEastAsia"/>
                <w:sz w:val="20"/>
                <w:szCs w:val="20"/>
              </w:rPr>
            </w:pPr>
            <w:r>
              <w:rPr>
                <w:rFonts w:asciiTheme="minorEastAsia" w:hAnsiTheme="minorEastAsia" w:eastAsiaTheme="minorEastAsia"/>
                <w:sz w:val="20"/>
                <w:szCs w:val="20"/>
              </w:rPr>
              <w:t>亮度</w:t>
            </w:r>
          </w:p>
        </w:tc>
        <w:tc>
          <w:tcPr>
            <w:tcW w:w="2478" w:type="dxa"/>
          </w:tcPr>
          <w:p>
            <w:pPr>
              <w:rPr>
                <w:rFonts w:asciiTheme="minorEastAsia" w:hAnsiTheme="minorEastAsia" w:eastAsiaTheme="minorEastAsia"/>
                <w:sz w:val="20"/>
                <w:szCs w:val="20"/>
              </w:rPr>
            </w:pPr>
            <w:r>
              <w:rPr>
                <w:rFonts w:asciiTheme="minorEastAsia" w:hAnsiTheme="minorEastAsia" w:eastAsiaTheme="minorEastAsia"/>
                <w:sz w:val="20"/>
                <w:szCs w:val="20"/>
              </w:rPr>
              <w:t>≥600cd/㎡</w:t>
            </w:r>
          </w:p>
        </w:tc>
        <w:tc>
          <w:tcPr>
            <w:tcW w:w="2478" w:type="dxa"/>
          </w:tcPr>
          <w:p>
            <w:pPr>
              <w:rPr>
                <w:rFonts w:asciiTheme="minorEastAsia" w:hAnsiTheme="minorEastAsia" w:eastAsiaTheme="minorEastAsia"/>
                <w:sz w:val="20"/>
                <w:szCs w:val="20"/>
              </w:rPr>
            </w:pPr>
            <w:r>
              <w:rPr>
                <w:rFonts w:asciiTheme="minorEastAsia" w:hAnsiTheme="minorEastAsia" w:eastAsiaTheme="minorEastAsia"/>
                <w:sz w:val="20"/>
                <w:szCs w:val="20"/>
              </w:rPr>
              <w:t>亮度均匀性</w:t>
            </w:r>
          </w:p>
        </w:tc>
        <w:tc>
          <w:tcPr>
            <w:tcW w:w="2478" w:type="dxa"/>
          </w:tcPr>
          <w:p>
            <w:pPr>
              <w:rPr>
                <w:rFonts w:asciiTheme="minorEastAsia" w:hAnsiTheme="minorEastAsia" w:eastAsiaTheme="minorEastAsia"/>
                <w:sz w:val="20"/>
                <w:szCs w:val="20"/>
              </w:rPr>
            </w:pPr>
            <w:r>
              <w:rPr>
                <w:rFonts w:asciiTheme="minorEastAsia" w:hAnsiTheme="minorEastAsia" w:eastAsiaTheme="minorEastAsia"/>
                <w:sz w:val="20"/>
                <w:szCs w:val="20"/>
              </w:rPr>
              <w:t>＞0.95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78" w:type="dxa"/>
          </w:tcPr>
          <w:p>
            <w:pPr>
              <w:rPr>
                <w:rFonts w:asciiTheme="minorEastAsia" w:hAnsiTheme="minorEastAsia" w:eastAsiaTheme="minorEastAsia"/>
                <w:sz w:val="20"/>
                <w:szCs w:val="20"/>
              </w:rPr>
            </w:pPr>
            <w:r>
              <w:rPr>
                <w:rFonts w:asciiTheme="minorEastAsia" w:hAnsiTheme="minorEastAsia" w:eastAsiaTheme="minorEastAsia"/>
                <w:sz w:val="20"/>
                <w:szCs w:val="20"/>
              </w:rPr>
              <w:t>屏幕水平视角</w:t>
            </w:r>
          </w:p>
        </w:tc>
        <w:tc>
          <w:tcPr>
            <w:tcW w:w="2478" w:type="dxa"/>
          </w:tcPr>
          <w:p>
            <w:pPr>
              <w:rPr>
                <w:rFonts w:asciiTheme="minorEastAsia" w:hAnsiTheme="minorEastAsia" w:eastAsiaTheme="minorEastAsia"/>
                <w:sz w:val="20"/>
                <w:szCs w:val="20"/>
              </w:rPr>
            </w:pPr>
            <w:r>
              <w:rPr>
                <w:rFonts w:asciiTheme="minorEastAsia" w:hAnsiTheme="minorEastAsia" w:eastAsiaTheme="minorEastAsia"/>
                <w:sz w:val="20"/>
                <w:szCs w:val="20"/>
              </w:rPr>
              <w:t>160±10 度</w:t>
            </w:r>
          </w:p>
        </w:tc>
        <w:tc>
          <w:tcPr>
            <w:tcW w:w="2478" w:type="dxa"/>
          </w:tcPr>
          <w:p>
            <w:pPr>
              <w:rPr>
                <w:rFonts w:asciiTheme="minorEastAsia" w:hAnsiTheme="minorEastAsia" w:eastAsiaTheme="minorEastAsia"/>
                <w:sz w:val="20"/>
                <w:szCs w:val="20"/>
              </w:rPr>
            </w:pPr>
            <w:r>
              <w:rPr>
                <w:rFonts w:asciiTheme="minorEastAsia" w:hAnsiTheme="minorEastAsia" w:eastAsiaTheme="minorEastAsia"/>
                <w:sz w:val="20"/>
                <w:szCs w:val="20"/>
              </w:rPr>
              <w:t>屏幕垂直视角</w:t>
            </w:r>
          </w:p>
        </w:tc>
        <w:tc>
          <w:tcPr>
            <w:tcW w:w="2478" w:type="dxa"/>
          </w:tcPr>
          <w:p>
            <w:pPr>
              <w:rPr>
                <w:rFonts w:asciiTheme="minorEastAsia" w:hAnsiTheme="minorEastAsia" w:eastAsiaTheme="minorEastAsia"/>
                <w:sz w:val="20"/>
                <w:szCs w:val="20"/>
              </w:rPr>
            </w:pPr>
            <w:r>
              <w:rPr>
                <w:rFonts w:asciiTheme="minorEastAsia" w:hAnsiTheme="minorEastAsia" w:eastAsiaTheme="minorEastAsia"/>
                <w:sz w:val="20"/>
                <w:szCs w:val="20"/>
              </w:rPr>
              <w:t>140±10 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78" w:type="dxa"/>
          </w:tcPr>
          <w:p>
            <w:pPr>
              <w:rPr>
                <w:rFonts w:asciiTheme="minorEastAsia" w:hAnsiTheme="minorEastAsia" w:eastAsiaTheme="minorEastAsia"/>
                <w:sz w:val="20"/>
                <w:szCs w:val="20"/>
              </w:rPr>
            </w:pPr>
            <w:r>
              <w:rPr>
                <w:rFonts w:asciiTheme="minorEastAsia" w:hAnsiTheme="minorEastAsia" w:eastAsiaTheme="minorEastAsia"/>
                <w:sz w:val="20"/>
                <w:szCs w:val="20"/>
              </w:rPr>
              <w:t>最佳视距</w:t>
            </w:r>
          </w:p>
        </w:tc>
        <w:tc>
          <w:tcPr>
            <w:tcW w:w="2478" w:type="dxa"/>
          </w:tcPr>
          <w:p>
            <w:pPr>
              <w:rPr>
                <w:rFonts w:asciiTheme="minorEastAsia" w:hAnsiTheme="minorEastAsia" w:eastAsiaTheme="minorEastAsia"/>
                <w:sz w:val="20"/>
                <w:szCs w:val="20"/>
              </w:rPr>
            </w:pPr>
            <w:r>
              <w:rPr>
                <w:rFonts w:asciiTheme="minorEastAsia" w:hAnsiTheme="minorEastAsia" w:eastAsiaTheme="minorEastAsia"/>
                <w:sz w:val="20"/>
                <w:szCs w:val="20"/>
              </w:rPr>
              <w:t>≥7.5m</w:t>
            </w:r>
          </w:p>
        </w:tc>
        <w:tc>
          <w:tcPr>
            <w:tcW w:w="2478" w:type="dxa"/>
          </w:tcPr>
          <w:p>
            <w:pPr>
              <w:rPr>
                <w:rFonts w:asciiTheme="minorEastAsia" w:hAnsiTheme="minorEastAsia" w:eastAsiaTheme="minorEastAsia"/>
                <w:sz w:val="20"/>
                <w:szCs w:val="20"/>
              </w:rPr>
            </w:pPr>
            <w:r>
              <w:rPr>
                <w:rFonts w:asciiTheme="minorEastAsia" w:hAnsiTheme="minorEastAsia" w:eastAsiaTheme="minorEastAsia"/>
                <w:sz w:val="20"/>
                <w:szCs w:val="20"/>
              </w:rPr>
              <w:t>使用环境</w:t>
            </w:r>
          </w:p>
        </w:tc>
        <w:tc>
          <w:tcPr>
            <w:tcW w:w="2478" w:type="dxa"/>
          </w:tcPr>
          <w:p>
            <w:pPr>
              <w:rPr>
                <w:rFonts w:asciiTheme="minorEastAsia" w:hAnsiTheme="minorEastAsia" w:eastAsiaTheme="minorEastAsia"/>
                <w:sz w:val="20"/>
                <w:szCs w:val="20"/>
              </w:rPr>
            </w:pPr>
            <w:r>
              <w:rPr>
                <w:rFonts w:asciiTheme="minorEastAsia" w:hAnsiTheme="minorEastAsia" w:eastAsiaTheme="minorEastAsia"/>
                <w:sz w:val="20"/>
                <w:szCs w:val="20"/>
              </w:rPr>
              <w:t>室内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78" w:type="dxa"/>
          </w:tcPr>
          <w:p>
            <w:pPr>
              <w:rPr>
                <w:rFonts w:asciiTheme="minorEastAsia" w:hAnsiTheme="minorEastAsia" w:eastAsiaTheme="minorEastAsia"/>
                <w:sz w:val="20"/>
                <w:szCs w:val="20"/>
              </w:rPr>
            </w:pPr>
            <w:r>
              <w:rPr>
                <w:rFonts w:asciiTheme="minorEastAsia" w:hAnsiTheme="minorEastAsia" w:eastAsiaTheme="minorEastAsia"/>
                <w:sz w:val="20"/>
                <w:szCs w:val="20"/>
              </w:rPr>
              <w:t>使用寿命</w:t>
            </w:r>
          </w:p>
        </w:tc>
        <w:tc>
          <w:tcPr>
            <w:tcW w:w="2478" w:type="dxa"/>
          </w:tcPr>
          <w:p>
            <w:pPr>
              <w:rPr>
                <w:rFonts w:asciiTheme="minorEastAsia" w:hAnsiTheme="minorEastAsia" w:eastAsiaTheme="minorEastAsia"/>
                <w:sz w:val="20"/>
                <w:szCs w:val="20"/>
              </w:rPr>
            </w:pPr>
            <w:r>
              <w:rPr>
                <w:rFonts w:asciiTheme="minorEastAsia" w:hAnsiTheme="minorEastAsia" w:eastAsiaTheme="minorEastAsia"/>
                <w:sz w:val="20"/>
                <w:szCs w:val="20"/>
              </w:rPr>
              <w:t>≥10 万小时</w:t>
            </w:r>
          </w:p>
        </w:tc>
        <w:tc>
          <w:tcPr>
            <w:tcW w:w="2478" w:type="dxa"/>
          </w:tcPr>
          <w:p>
            <w:pPr>
              <w:rPr>
                <w:rFonts w:asciiTheme="minorEastAsia" w:hAnsiTheme="minorEastAsia" w:eastAsiaTheme="minorEastAsia"/>
                <w:sz w:val="20"/>
                <w:szCs w:val="20"/>
              </w:rPr>
            </w:pPr>
            <w:r>
              <w:rPr>
                <w:rFonts w:asciiTheme="minorEastAsia" w:hAnsiTheme="minorEastAsia" w:eastAsiaTheme="minorEastAsia"/>
                <w:sz w:val="20"/>
                <w:szCs w:val="20"/>
              </w:rPr>
              <w:t>平均无故障时间</w:t>
            </w:r>
          </w:p>
        </w:tc>
        <w:tc>
          <w:tcPr>
            <w:tcW w:w="2478" w:type="dxa"/>
          </w:tcPr>
          <w:p>
            <w:pPr>
              <w:rPr>
                <w:rFonts w:asciiTheme="minorEastAsia" w:hAnsiTheme="minorEastAsia" w:eastAsiaTheme="minorEastAsia"/>
                <w:sz w:val="20"/>
                <w:szCs w:val="20"/>
              </w:rPr>
            </w:pPr>
            <w:r>
              <w:rPr>
                <w:rFonts w:asciiTheme="minorEastAsia" w:hAnsiTheme="minorEastAsia" w:eastAsiaTheme="minorEastAsia"/>
                <w:sz w:val="20"/>
                <w:szCs w:val="20"/>
              </w:rPr>
              <w:t>≥5000 小时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78" w:type="dxa"/>
          </w:tcPr>
          <w:p>
            <w:pPr>
              <w:rPr>
                <w:rFonts w:asciiTheme="minorEastAsia" w:hAnsiTheme="minorEastAsia" w:eastAsiaTheme="minorEastAsia"/>
                <w:sz w:val="20"/>
                <w:szCs w:val="20"/>
              </w:rPr>
            </w:pPr>
            <w:r>
              <w:rPr>
                <w:rFonts w:asciiTheme="minorEastAsia" w:hAnsiTheme="minorEastAsia" w:eastAsiaTheme="minorEastAsia"/>
                <w:sz w:val="20"/>
                <w:szCs w:val="20"/>
              </w:rPr>
              <w:t>衰减率(工作 3 年)</w:t>
            </w:r>
          </w:p>
        </w:tc>
        <w:tc>
          <w:tcPr>
            <w:tcW w:w="2478" w:type="dxa"/>
          </w:tcPr>
          <w:p>
            <w:pPr>
              <w:rPr>
                <w:rFonts w:asciiTheme="minorEastAsia" w:hAnsiTheme="minorEastAsia" w:eastAsiaTheme="minorEastAsia"/>
                <w:sz w:val="20"/>
                <w:szCs w:val="20"/>
              </w:rPr>
            </w:pPr>
            <w:r>
              <w:rPr>
                <w:rFonts w:asciiTheme="minorEastAsia" w:hAnsiTheme="minorEastAsia" w:eastAsiaTheme="minorEastAsia"/>
                <w:sz w:val="20"/>
                <w:szCs w:val="20"/>
              </w:rPr>
              <w:t>≤10％</w:t>
            </w:r>
          </w:p>
        </w:tc>
        <w:tc>
          <w:tcPr>
            <w:tcW w:w="2478" w:type="dxa"/>
          </w:tcPr>
          <w:p>
            <w:pPr>
              <w:rPr>
                <w:rFonts w:asciiTheme="minorEastAsia" w:hAnsiTheme="minorEastAsia" w:eastAsiaTheme="minorEastAsia"/>
                <w:sz w:val="20"/>
                <w:szCs w:val="20"/>
              </w:rPr>
            </w:pPr>
            <w:r>
              <w:rPr>
                <w:rFonts w:asciiTheme="minorEastAsia" w:hAnsiTheme="minorEastAsia" w:eastAsiaTheme="minorEastAsia"/>
                <w:sz w:val="20"/>
                <w:szCs w:val="20"/>
              </w:rPr>
              <w:t>连续失控点</w:t>
            </w:r>
          </w:p>
        </w:tc>
        <w:tc>
          <w:tcPr>
            <w:tcW w:w="2478" w:type="dxa"/>
          </w:tcPr>
          <w:p>
            <w:pPr>
              <w:rPr>
                <w:rFonts w:asciiTheme="minorEastAsia" w:hAnsiTheme="minorEastAsia" w:eastAsiaTheme="minorEastAsia"/>
                <w:sz w:val="20"/>
                <w:szCs w:val="20"/>
              </w:rPr>
            </w:pPr>
            <w:r>
              <w:rPr>
                <w:rFonts w:asciiTheme="minorEastAsia" w:hAnsiTheme="minorEastAsia" w:eastAsiaTheme="minorEastAsia"/>
                <w:sz w:val="20"/>
                <w:szCs w:val="20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78" w:type="dxa"/>
          </w:tcPr>
          <w:p>
            <w:pPr>
              <w:rPr>
                <w:rFonts w:asciiTheme="minorEastAsia" w:hAnsiTheme="minorEastAsia" w:eastAsiaTheme="minorEastAsia"/>
                <w:sz w:val="20"/>
                <w:szCs w:val="20"/>
              </w:rPr>
            </w:pPr>
            <w:r>
              <w:rPr>
                <w:rFonts w:asciiTheme="minorEastAsia" w:hAnsiTheme="minorEastAsia" w:eastAsiaTheme="minorEastAsia"/>
                <w:sz w:val="20"/>
                <w:szCs w:val="20"/>
              </w:rPr>
              <w:t>离散失控点</w:t>
            </w:r>
          </w:p>
        </w:tc>
        <w:tc>
          <w:tcPr>
            <w:tcW w:w="2478" w:type="dxa"/>
          </w:tcPr>
          <w:p>
            <w:pPr>
              <w:rPr>
                <w:rFonts w:asciiTheme="minorEastAsia" w:hAnsiTheme="minorEastAsia" w:eastAsiaTheme="minorEastAsia"/>
                <w:sz w:val="20"/>
                <w:szCs w:val="20"/>
              </w:rPr>
            </w:pPr>
            <w:r>
              <w:rPr>
                <w:rFonts w:asciiTheme="minorEastAsia" w:hAnsiTheme="minorEastAsia" w:eastAsiaTheme="minorEastAsia"/>
                <w:sz w:val="20"/>
                <w:szCs w:val="20"/>
              </w:rPr>
              <w:t>＜30PPM，出厂时为 0</w:t>
            </w:r>
          </w:p>
        </w:tc>
        <w:tc>
          <w:tcPr>
            <w:tcW w:w="2478" w:type="dxa"/>
          </w:tcPr>
          <w:p>
            <w:pPr>
              <w:rPr>
                <w:rFonts w:asciiTheme="minorEastAsia" w:hAnsiTheme="minorEastAsia" w:eastAsiaTheme="minorEastAsia"/>
                <w:sz w:val="20"/>
                <w:szCs w:val="20"/>
              </w:rPr>
            </w:pPr>
            <w:r>
              <w:rPr>
                <w:rFonts w:asciiTheme="minorEastAsia" w:hAnsiTheme="minorEastAsia" w:eastAsiaTheme="minorEastAsia"/>
                <w:sz w:val="20"/>
                <w:szCs w:val="20"/>
              </w:rPr>
              <w:t>盲点率</w:t>
            </w:r>
          </w:p>
        </w:tc>
        <w:tc>
          <w:tcPr>
            <w:tcW w:w="2478" w:type="dxa"/>
          </w:tcPr>
          <w:p>
            <w:pPr>
              <w:rPr>
                <w:rFonts w:asciiTheme="minorEastAsia" w:hAnsiTheme="minorEastAsia" w:eastAsiaTheme="minorEastAsia"/>
                <w:sz w:val="20"/>
                <w:szCs w:val="20"/>
              </w:rPr>
            </w:pPr>
            <w:r>
              <w:rPr>
                <w:rFonts w:asciiTheme="minorEastAsia" w:hAnsiTheme="minorEastAsia" w:eastAsiaTheme="minorEastAsia"/>
                <w:sz w:val="20"/>
                <w:szCs w:val="20"/>
              </w:rPr>
              <w:t>＜50PPM，出厂时为 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78" w:type="dxa"/>
          </w:tcPr>
          <w:p>
            <w:pPr>
              <w:rPr>
                <w:rFonts w:asciiTheme="minorEastAsia" w:hAnsiTheme="minorEastAsia" w:eastAsiaTheme="minorEastAsia"/>
                <w:sz w:val="20"/>
                <w:szCs w:val="20"/>
              </w:rPr>
            </w:pPr>
            <w:r>
              <w:rPr>
                <w:rFonts w:asciiTheme="minorEastAsia" w:hAnsiTheme="minorEastAsia" w:eastAsiaTheme="minorEastAsia"/>
                <w:sz w:val="20"/>
                <w:szCs w:val="20"/>
              </w:rPr>
              <w:t>工作温度范围</w:t>
            </w:r>
          </w:p>
        </w:tc>
        <w:tc>
          <w:tcPr>
            <w:tcW w:w="2478" w:type="dxa"/>
          </w:tcPr>
          <w:p>
            <w:pPr>
              <w:rPr>
                <w:rFonts w:asciiTheme="minorEastAsia" w:hAnsiTheme="minorEastAsia" w:eastAsiaTheme="minorEastAsia"/>
                <w:sz w:val="20"/>
                <w:szCs w:val="20"/>
              </w:rPr>
            </w:pPr>
            <w:r>
              <w:rPr>
                <w:rFonts w:asciiTheme="minorEastAsia" w:hAnsiTheme="minorEastAsia" w:eastAsiaTheme="minorEastAsia"/>
                <w:sz w:val="20"/>
                <w:szCs w:val="20"/>
              </w:rPr>
              <w:t>-20</w:t>
            </w:r>
            <w:r>
              <w:rPr>
                <w:rFonts w:hint="eastAsia" w:cs="宋体" w:asciiTheme="minorEastAsia" w:hAnsiTheme="minorEastAsia" w:eastAsiaTheme="minorEastAsia"/>
                <w:sz w:val="20"/>
                <w:szCs w:val="20"/>
              </w:rPr>
              <w:t>℃</w:t>
            </w:r>
            <w:r>
              <w:rPr>
                <w:rFonts w:asciiTheme="minorEastAsia" w:hAnsiTheme="minorEastAsia" w:eastAsiaTheme="minorEastAsia"/>
                <w:sz w:val="20"/>
                <w:szCs w:val="20"/>
              </w:rPr>
              <w:t>-40</w:t>
            </w:r>
            <w:r>
              <w:rPr>
                <w:rFonts w:hint="eastAsia" w:cs="宋体" w:asciiTheme="minorEastAsia" w:hAnsiTheme="minorEastAsia" w:eastAsiaTheme="minorEastAsia"/>
                <w:sz w:val="20"/>
                <w:szCs w:val="20"/>
              </w:rPr>
              <w:t>℃</w:t>
            </w:r>
          </w:p>
        </w:tc>
        <w:tc>
          <w:tcPr>
            <w:tcW w:w="2478" w:type="dxa"/>
          </w:tcPr>
          <w:p>
            <w:pPr>
              <w:rPr>
                <w:rFonts w:asciiTheme="minorEastAsia" w:hAnsiTheme="minorEastAsia" w:eastAsiaTheme="minorEastAsia"/>
                <w:sz w:val="20"/>
                <w:szCs w:val="20"/>
              </w:rPr>
            </w:pPr>
            <w:r>
              <w:rPr>
                <w:rFonts w:asciiTheme="minorEastAsia" w:hAnsiTheme="minorEastAsia" w:eastAsiaTheme="minorEastAsia"/>
                <w:sz w:val="20"/>
                <w:szCs w:val="20"/>
              </w:rPr>
              <w:t>工作湿度范围</w:t>
            </w:r>
          </w:p>
        </w:tc>
        <w:tc>
          <w:tcPr>
            <w:tcW w:w="2478" w:type="dxa"/>
          </w:tcPr>
          <w:p>
            <w:pPr>
              <w:rPr>
                <w:rFonts w:asciiTheme="minorEastAsia" w:hAnsiTheme="minorEastAsia" w:eastAsiaTheme="minorEastAsia"/>
                <w:sz w:val="20"/>
                <w:szCs w:val="20"/>
              </w:rPr>
            </w:pPr>
            <w:r>
              <w:rPr>
                <w:rFonts w:asciiTheme="minorEastAsia" w:hAnsiTheme="minorEastAsia" w:eastAsiaTheme="minorEastAsia"/>
                <w:sz w:val="20"/>
                <w:szCs w:val="20"/>
              </w:rPr>
              <w:t>10％-65％RH(无结露)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78" w:type="dxa"/>
          </w:tcPr>
          <w:p>
            <w:pPr>
              <w:rPr>
                <w:rFonts w:asciiTheme="minorEastAsia" w:hAnsiTheme="minorEastAsia" w:eastAsiaTheme="minorEastAsia"/>
                <w:sz w:val="20"/>
                <w:szCs w:val="20"/>
              </w:rPr>
            </w:pPr>
            <w:r>
              <w:rPr>
                <w:rFonts w:asciiTheme="minorEastAsia" w:hAnsiTheme="minorEastAsia" w:eastAsiaTheme="minorEastAsia"/>
                <w:sz w:val="20"/>
                <w:szCs w:val="20"/>
              </w:rPr>
              <w:t>模组平整度</w:t>
            </w:r>
          </w:p>
        </w:tc>
        <w:tc>
          <w:tcPr>
            <w:tcW w:w="2478" w:type="dxa"/>
          </w:tcPr>
          <w:p>
            <w:pPr>
              <w:rPr>
                <w:rFonts w:asciiTheme="minorEastAsia" w:hAnsiTheme="minorEastAsia" w:eastAsiaTheme="minorEastAsia"/>
                <w:sz w:val="20"/>
                <w:szCs w:val="20"/>
              </w:rPr>
            </w:pPr>
            <w:r>
              <w:rPr>
                <w:rFonts w:asciiTheme="minorEastAsia" w:hAnsiTheme="minorEastAsia" w:eastAsiaTheme="minorEastAsia"/>
                <w:sz w:val="20"/>
                <w:szCs w:val="20"/>
              </w:rPr>
              <w:t>＜0.2mm</w:t>
            </w:r>
          </w:p>
        </w:tc>
        <w:tc>
          <w:tcPr>
            <w:tcW w:w="2478" w:type="dxa"/>
          </w:tcPr>
          <w:p>
            <w:pPr>
              <w:rPr>
                <w:rFonts w:asciiTheme="minorEastAsia" w:hAnsiTheme="minorEastAsia" w:eastAsiaTheme="minorEastAsia"/>
                <w:sz w:val="20"/>
                <w:szCs w:val="20"/>
              </w:rPr>
            </w:pPr>
            <w:r>
              <w:rPr>
                <w:rFonts w:hint="eastAsia" w:asciiTheme="minorEastAsia" w:hAnsiTheme="minorEastAsia" w:eastAsiaTheme="minorEastAsia"/>
                <w:sz w:val="20"/>
                <w:szCs w:val="20"/>
              </w:rPr>
              <w:t>防护等级</w:t>
            </w:r>
          </w:p>
        </w:tc>
        <w:tc>
          <w:tcPr>
            <w:tcW w:w="2478" w:type="dxa"/>
          </w:tcPr>
          <w:p>
            <w:pPr>
              <w:rPr>
                <w:rFonts w:asciiTheme="minorEastAsia" w:hAnsiTheme="minorEastAsia" w:eastAsiaTheme="minorEastAsia"/>
                <w:sz w:val="20"/>
                <w:szCs w:val="20"/>
              </w:rPr>
            </w:pPr>
            <w:r>
              <w:rPr>
                <w:rFonts w:asciiTheme="minorEastAsia" w:hAnsiTheme="minorEastAsia" w:eastAsiaTheme="minorEastAsia"/>
                <w:sz w:val="20"/>
                <w:szCs w:val="20"/>
              </w:rPr>
              <w:t>IP30</w:t>
            </w:r>
          </w:p>
        </w:tc>
      </w:tr>
    </w:tbl>
    <w:p>
      <w:pPr>
        <w:pStyle w:val="3"/>
        <w:numPr>
          <w:ilvl w:val="0"/>
          <w:numId w:val="4"/>
        </w:numPr>
        <w:rPr>
          <w:rFonts w:ascii="微软雅黑" w:hAnsi="微软雅黑" w:eastAsia="微软雅黑"/>
          <w:sz w:val="36"/>
          <w:szCs w:val="36"/>
        </w:rPr>
      </w:pPr>
      <w:bookmarkStart w:id="5" w:name="_Toc25629"/>
      <w:r>
        <w:rPr>
          <w:rFonts w:hint="eastAsia" w:ascii="微软雅黑" w:hAnsi="微软雅黑" w:eastAsia="微软雅黑"/>
          <w:sz w:val="36"/>
          <w:szCs w:val="36"/>
        </w:rPr>
        <w:t>单元板信号接口定义</w:t>
      </w:r>
      <w:bookmarkEnd w:id="5"/>
    </w:p>
    <w:p>
      <w:r>
        <w:drawing>
          <wp:inline distT="0" distB="0" distL="0" distR="0">
            <wp:extent cx="5915025" cy="3061970"/>
            <wp:effectExtent l="0" t="0" r="9525" b="50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19486" cy="3064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rFonts w:ascii="微软雅黑" w:hAnsi="微软雅黑" w:eastAsia="微软雅黑"/>
          <w:sz w:val="36"/>
          <w:szCs w:val="36"/>
        </w:rPr>
      </w:pPr>
      <w:bookmarkStart w:id="6" w:name="_Toc8178"/>
      <w:r>
        <w:rPr>
          <w:rFonts w:hint="eastAsia" w:ascii="微软雅黑" w:hAnsi="微软雅黑" w:eastAsia="微软雅黑"/>
          <w:sz w:val="36"/>
          <w:szCs w:val="36"/>
          <w:highlight w:val="none"/>
        </w:rPr>
        <w:t>六、</w:t>
      </w:r>
      <w:r>
        <w:rPr>
          <w:rFonts w:hint="eastAsia" w:ascii="微软雅黑" w:hAnsi="微软雅黑" w:eastAsia="微软雅黑"/>
          <w:sz w:val="36"/>
          <w:szCs w:val="36"/>
        </w:rPr>
        <w:t>单元板安装孔位图</w:t>
      </w:r>
      <w:bookmarkEnd w:id="6"/>
    </w:p>
    <w:p>
      <w:r>
        <w:drawing>
          <wp:inline distT="0" distB="0" distL="0" distR="0">
            <wp:extent cx="6299200" cy="2514600"/>
            <wp:effectExtent l="0" t="0" r="635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00674" cy="2515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</w:pPr>
      <w:r>
        <w:t>推荐 640*480 箱体安装孔位图</w:t>
      </w:r>
    </w:p>
    <w:p>
      <w:pPr>
        <w:pStyle w:val="2"/>
      </w:pPr>
      <w:r>
        <w:drawing>
          <wp:inline distT="0" distB="0" distL="0" distR="0">
            <wp:extent cx="6276975" cy="3529330"/>
            <wp:effectExtent l="0" t="0" r="9525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76975" cy="3529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666750</wp:posOffset>
            </wp:positionH>
            <wp:positionV relativeFrom="page">
              <wp:posOffset>1452245</wp:posOffset>
            </wp:positionV>
            <wp:extent cx="6167755" cy="3028950"/>
            <wp:effectExtent l="0" t="0" r="5080" b="0"/>
            <wp:wrapNone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21168" cy="30553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2"/>
      </w:pPr>
      <w:r>
        <w:t>备注： 所有尺寸的单位为 mm</w:t>
      </w:r>
    </w:p>
    <w:p>
      <w:pPr>
        <w:pStyle w:val="3"/>
        <w:rPr>
          <w:rFonts w:ascii="微软雅黑" w:hAnsi="微软雅黑" w:eastAsia="微软雅黑"/>
          <w:sz w:val="36"/>
          <w:szCs w:val="36"/>
        </w:rPr>
      </w:pPr>
      <w:bookmarkStart w:id="7" w:name="_Toc14493"/>
      <w:r>
        <w:rPr>
          <w:rFonts w:hint="eastAsia" w:ascii="微软雅黑" w:hAnsi="微软雅黑" w:eastAsia="微软雅黑"/>
          <w:sz w:val="36"/>
          <w:szCs w:val="36"/>
        </w:rPr>
        <w:t>七、安装指导</w:t>
      </w:r>
      <w:bookmarkEnd w:id="7"/>
    </w:p>
    <w:p>
      <w:pPr>
        <w:pStyle w:val="27"/>
        <w:numPr>
          <w:ilvl w:val="0"/>
          <w:numId w:val="5"/>
        </w:numPr>
        <w:ind w:firstLineChars="0"/>
      </w:pPr>
      <w:r>
        <w:t>箱体与单元板安装示意图(此图仅供参考，具体接线方式参考实物)：</w:t>
      </w:r>
    </w:p>
    <w:p>
      <w:pPr>
        <w:pStyle w:val="2"/>
      </w:pPr>
      <w:r>
        <w:drawing>
          <wp:inline distT="0" distB="0" distL="0" distR="0">
            <wp:extent cx="5529580" cy="291465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29580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</w:pPr>
    </w:p>
    <w:sectPr>
      <w:pgSz w:w="11906" w:h="16838"/>
      <w:pgMar w:top="1440" w:right="991" w:bottom="1440" w:left="993" w:header="454" w:footer="907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Times new Roam">
    <w:altName w:val="Times New Roman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Book Antiqua">
    <w:panose1 w:val="02040602050305030304"/>
    <w:charset w:val="00"/>
    <w:family w:val="roman"/>
    <w:pitch w:val="default"/>
    <w:sig w:usb0="00000287" w:usb1="00000000" w:usb2="00000000" w:usb3="00000000" w:csb0="200000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3"/>
    </w:pPr>
    <w: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5667375</wp:posOffset>
          </wp:positionH>
          <wp:positionV relativeFrom="paragraph">
            <wp:posOffset>78105</wp:posOffset>
          </wp:positionV>
          <wp:extent cx="586105" cy="586105"/>
          <wp:effectExtent l="0" t="0" r="4445" b="4445"/>
          <wp:wrapSquare wrapText="bothSides"/>
          <wp:docPr id="10" name="图片 10" descr="微信公众号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图片 10" descr="微信公众号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86105" cy="5861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tab w:relativeTo="margin" w:alignment="left" w:leader="none"/>
    </w:r>
    <w:r>
      <w:t xml:space="preserve"> </w:t>
    </w:r>
    <w:r>
      <w:rPr>
        <w:rFonts w:hint="eastAsia"/>
      </w:rPr>
      <w:drawing>
        <wp:inline distT="0" distB="0" distL="114300" distR="114300">
          <wp:extent cx="3731260" cy="695325"/>
          <wp:effectExtent l="0" t="0" r="2540" b="0"/>
          <wp:docPr id="6" name="图片 6" descr="页脚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图片 6" descr="页脚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731260" cy="6953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</w:t>
    </w:r>
    <w:r>
      <w:rPr>
        <w:rFonts w:hint="eastAsia"/>
      </w:rPr>
      <w:t xml:space="preserve">                </w:t>
    </w:r>
  </w:p>
  <w:p>
    <w:pPr>
      <w:pStyle w:val="13"/>
      <w:ind w:right="600"/>
      <w:jc w:val="right"/>
    </w:pPr>
    <w:r>
      <w:rPr>
        <w:rFonts w:ascii="Times New Roman" w:hAnsi="Times New Roman" w:eastAsia="宋体" w:cs="Times New Roman"/>
        <w:color w:val="171A1D"/>
        <w:sz w:val="20"/>
        <w:szCs w:val="20"/>
        <w:shd w:val="clear" w:color="auto" w:fill="FFFFFF"/>
      </w:rPr>
      <w:t>页码：第</w:t>
    </w:r>
    <w:r>
      <w:rPr>
        <w:rFonts w:ascii="Times New Roman" w:hAnsi="Times New Roman" w:eastAsia="宋体" w:cs="Times New Roman"/>
        <w:b/>
        <w:bCs/>
        <w:color w:val="171A1D"/>
        <w:sz w:val="20"/>
        <w:szCs w:val="20"/>
        <w:shd w:val="clear" w:color="auto" w:fill="FFFFFF"/>
      </w:rPr>
      <w:fldChar w:fldCharType="begin"/>
    </w:r>
    <w:r>
      <w:rPr>
        <w:rFonts w:ascii="Times New Roman" w:hAnsi="Times New Roman" w:eastAsia="宋体" w:cs="Times New Roman"/>
        <w:b/>
        <w:bCs/>
        <w:color w:val="171A1D"/>
        <w:sz w:val="20"/>
        <w:szCs w:val="20"/>
        <w:shd w:val="clear" w:color="auto" w:fill="FFFFFF"/>
      </w:rPr>
      <w:instrText xml:space="preserve">PAGE  \* Arabic  \* MERGEFORMAT</w:instrText>
    </w:r>
    <w:r>
      <w:rPr>
        <w:rFonts w:ascii="Times New Roman" w:hAnsi="Times New Roman" w:eastAsia="宋体" w:cs="Times New Roman"/>
        <w:b/>
        <w:bCs/>
        <w:color w:val="171A1D"/>
        <w:sz w:val="20"/>
        <w:szCs w:val="20"/>
        <w:shd w:val="clear" w:color="auto" w:fill="FFFFFF"/>
      </w:rPr>
      <w:fldChar w:fldCharType="separate"/>
    </w:r>
    <w:r>
      <w:rPr>
        <w:rFonts w:ascii="Times New Roman" w:hAnsi="Times New Roman" w:eastAsia="宋体" w:cs="Times New Roman"/>
        <w:b/>
        <w:bCs/>
        <w:color w:val="171A1D"/>
        <w:sz w:val="20"/>
        <w:szCs w:val="20"/>
        <w:shd w:val="clear" w:color="auto" w:fill="FFFFFF"/>
      </w:rPr>
      <w:t>1</w:t>
    </w:r>
    <w:r>
      <w:rPr>
        <w:rFonts w:ascii="Times New Roman" w:hAnsi="Times New Roman" w:eastAsia="宋体" w:cs="Times New Roman"/>
        <w:b/>
        <w:bCs/>
        <w:color w:val="171A1D"/>
        <w:sz w:val="20"/>
        <w:szCs w:val="20"/>
        <w:shd w:val="clear" w:color="auto" w:fill="FFFFFF"/>
      </w:rPr>
      <w:fldChar w:fldCharType="end"/>
    </w:r>
    <w:r>
      <w:rPr>
        <w:rFonts w:ascii="Times New Roman" w:hAnsi="Times New Roman" w:eastAsia="宋体" w:cs="Times New Roman"/>
        <w:b/>
        <w:bCs/>
        <w:color w:val="171A1D"/>
        <w:sz w:val="20"/>
        <w:szCs w:val="20"/>
        <w:shd w:val="clear" w:color="auto" w:fill="FFFFFF"/>
      </w:rPr>
      <w:t>页</w:t>
    </w:r>
    <w:r>
      <w:rPr>
        <w:rFonts w:ascii="Times New Roman" w:hAnsi="Times New Roman" w:eastAsia="宋体" w:cs="Times New Roman"/>
        <w:color w:val="171A1D"/>
        <w:sz w:val="20"/>
        <w:szCs w:val="20"/>
        <w:shd w:val="clear" w:color="auto" w:fill="FFFFFF"/>
        <w:lang w:val="zh-CN"/>
      </w:rPr>
      <w:t xml:space="preserve"> /共</w:t>
    </w:r>
    <w:r>
      <w:rPr>
        <w:rFonts w:ascii="Times New Roman" w:hAnsi="Times New Roman" w:eastAsia="宋体" w:cs="Times New Roman"/>
        <w:b/>
        <w:bCs/>
        <w:color w:val="171A1D"/>
        <w:sz w:val="20"/>
        <w:szCs w:val="20"/>
        <w:shd w:val="clear" w:color="auto" w:fill="FFFFFF"/>
      </w:rPr>
      <w:fldChar w:fldCharType="begin"/>
    </w:r>
    <w:r>
      <w:rPr>
        <w:rFonts w:ascii="Times New Roman" w:hAnsi="Times New Roman" w:eastAsia="宋体" w:cs="Times New Roman"/>
        <w:b/>
        <w:bCs/>
        <w:color w:val="171A1D"/>
        <w:sz w:val="20"/>
        <w:szCs w:val="20"/>
        <w:shd w:val="clear" w:color="auto" w:fill="FFFFFF"/>
      </w:rPr>
      <w:instrText xml:space="preserve">NUMPAGES  \* Arabic  \* MERGEFORMAT</w:instrText>
    </w:r>
    <w:r>
      <w:rPr>
        <w:rFonts w:ascii="Times New Roman" w:hAnsi="Times New Roman" w:eastAsia="宋体" w:cs="Times New Roman"/>
        <w:b/>
        <w:bCs/>
        <w:color w:val="171A1D"/>
        <w:sz w:val="20"/>
        <w:szCs w:val="20"/>
        <w:shd w:val="clear" w:color="auto" w:fill="FFFFFF"/>
      </w:rPr>
      <w:fldChar w:fldCharType="separate"/>
    </w:r>
    <w:r>
      <w:rPr>
        <w:rFonts w:ascii="Times New Roman" w:hAnsi="Times New Roman" w:eastAsia="宋体" w:cs="Times New Roman"/>
        <w:b/>
        <w:bCs/>
        <w:color w:val="171A1D"/>
        <w:sz w:val="20"/>
        <w:szCs w:val="20"/>
        <w:shd w:val="clear" w:color="auto" w:fill="FFFFFF"/>
      </w:rPr>
      <w:t>4</w:t>
    </w:r>
    <w:r>
      <w:rPr>
        <w:rFonts w:ascii="Times New Roman" w:hAnsi="Times New Roman" w:eastAsia="宋体" w:cs="Times New Roman"/>
        <w:b/>
        <w:bCs/>
        <w:color w:val="171A1D"/>
        <w:sz w:val="20"/>
        <w:szCs w:val="20"/>
        <w:shd w:val="clear" w:color="auto" w:fill="FFFFFF"/>
      </w:rPr>
      <w:fldChar w:fldCharType="end"/>
    </w:r>
    <w:r>
      <w:rPr>
        <w:rFonts w:ascii="Times New Roman" w:hAnsi="Times New Roman" w:eastAsia="宋体" w:cs="Times New Roman"/>
        <w:b/>
        <w:bCs/>
        <w:color w:val="171A1D"/>
        <w:sz w:val="20"/>
        <w:szCs w:val="20"/>
        <w:shd w:val="clear" w:color="auto" w:fill="FFFFFF"/>
      </w:rPr>
      <w:t>页</w:t>
    </w:r>
    <w:r>
      <w:rPr>
        <w:rFonts w:hint="eastAsia" w:ascii="Times New Roman" w:hAnsi="Times New Roman" w:eastAsia="宋体" w:cs="Times New Roman"/>
        <w:b/>
        <w:bCs/>
        <w:color w:val="171A1D"/>
        <w:sz w:val="20"/>
        <w:szCs w:val="20"/>
        <w:shd w:val="clear" w:color="auto" w:fill="FFFFFF"/>
      </w:rPr>
      <w:t xml:space="preserve"> </w:t>
    </w:r>
    <w:r>
      <w:rPr>
        <w:rFonts w:ascii="Times New Roman" w:hAnsi="Times New Roman" w:eastAsia="宋体" w:cs="Times New Roman"/>
        <w:color w:val="171A1D"/>
        <w:sz w:val="20"/>
        <w:szCs w:val="20"/>
        <w:shd w:val="clear" w:color="auto" w:fill="FFFFFF"/>
      </w:rPr>
      <w:tab/>
    </w:r>
    <w:r>
      <w:rPr>
        <w:rFonts w:ascii="Times New Roman" w:hAnsi="Times New Roman" w:eastAsia="宋体" w:cs="Times New Roman"/>
        <w:color w:val="171A1D"/>
        <w:sz w:val="20"/>
        <w:szCs w:val="20"/>
        <w:shd w:val="clear" w:color="auto" w:fill="FFFFFF"/>
      </w:rPr>
      <w:t xml:space="preserve">      表单号：BD-CPCTY-0001 A0</w:t>
    </w:r>
    <w:r>
      <w:rPr>
        <w:rFonts w:ascii="Times New Roman" w:hAnsi="Times New Roman" w:eastAsia="宋体" w:cs="Times New Roman"/>
        <w:sz w:val="20"/>
        <w:szCs w:val="20"/>
      </w:rPr>
      <w:t xml:space="preserve">      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3"/>
    </w:pPr>
    <w:r>
      <w:drawing>
        <wp:anchor distT="0" distB="0" distL="0" distR="0" simplePos="0" relativeHeight="251661312" behindDoc="0" locked="0" layoutInCell="1" allowOverlap="1">
          <wp:simplePos x="0" y="0"/>
          <wp:positionH relativeFrom="column">
            <wp:posOffset>5695315</wp:posOffset>
          </wp:positionH>
          <wp:positionV relativeFrom="paragraph">
            <wp:posOffset>136525</wp:posOffset>
          </wp:positionV>
          <wp:extent cx="575945" cy="575310"/>
          <wp:effectExtent l="0" t="0" r="5080" b="5715"/>
          <wp:wrapSquare wrapText="bothSides"/>
          <wp:docPr id="15" name="图片 15" descr="C:\Users\PumpkinPotato\Desktop\微信公众号.png微信公众号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图片 15" descr="C:\Users\PumpkinPotato\Desktop\微信公众号.png微信公众号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5945" cy="5753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tab w:relativeTo="margin" w:alignment="left" w:leader="none"/>
    </w:r>
    <w:r>
      <w:t xml:space="preserve">     </w:t>
    </w:r>
    <w:r>
      <w:rPr>
        <w:rFonts w:hint="eastAsia"/>
      </w:rPr>
      <w:drawing>
        <wp:inline distT="0" distB="0" distL="114300" distR="114300">
          <wp:extent cx="3731260" cy="695325"/>
          <wp:effectExtent l="0" t="0" r="2540" b="0"/>
          <wp:docPr id="30" name="图片 30" descr="页脚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图片 30" descr="页脚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731260" cy="6953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</w:rPr>
      <w:t xml:space="preserve">   </w:t>
    </w:r>
    <w:r>
      <w:t xml:space="preserve">   </w:t>
    </w:r>
  </w:p>
  <w:p>
    <w:pPr>
      <w:pStyle w:val="13"/>
      <w:ind w:firstLine="3000" w:firstLineChars="1500"/>
      <w:jc w:val="both"/>
    </w:pPr>
    <w:r>
      <w:rPr>
        <w:rFonts w:ascii="Times New Roman" w:hAnsi="Times New Roman" w:eastAsia="宋体" w:cs="Times New Roman"/>
        <w:color w:val="171A1D"/>
        <w:sz w:val="20"/>
        <w:szCs w:val="20"/>
        <w:shd w:val="clear" w:color="auto" w:fill="FFFFFF"/>
      </w:rPr>
      <w:t>页码：第</w:t>
    </w:r>
    <w:r>
      <w:rPr>
        <w:rFonts w:ascii="Times New Roman" w:hAnsi="Times New Roman" w:eastAsia="宋体" w:cs="Times New Roman"/>
        <w:b/>
        <w:bCs/>
        <w:color w:val="171A1D"/>
        <w:sz w:val="20"/>
        <w:szCs w:val="20"/>
        <w:shd w:val="clear" w:color="auto" w:fill="FFFFFF"/>
      </w:rPr>
      <w:fldChar w:fldCharType="begin"/>
    </w:r>
    <w:r>
      <w:rPr>
        <w:rFonts w:ascii="Times New Roman" w:hAnsi="Times New Roman" w:eastAsia="宋体" w:cs="Times New Roman"/>
        <w:b/>
        <w:bCs/>
        <w:color w:val="171A1D"/>
        <w:sz w:val="20"/>
        <w:szCs w:val="20"/>
        <w:shd w:val="clear" w:color="auto" w:fill="FFFFFF"/>
      </w:rPr>
      <w:instrText xml:space="preserve">PAGE  \* Arabic  \* MERGEFORMAT</w:instrText>
    </w:r>
    <w:r>
      <w:rPr>
        <w:rFonts w:ascii="Times New Roman" w:hAnsi="Times New Roman" w:eastAsia="宋体" w:cs="Times New Roman"/>
        <w:b/>
        <w:bCs/>
        <w:color w:val="171A1D"/>
        <w:sz w:val="20"/>
        <w:szCs w:val="20"/>
        <w:shd w:val="clear" w:color="auto" w:fill="FFFFFF"/>
      </w:rPr>
      <w:fldChar w:fldCharType="separate"/>
    </w:r>
    <w:r>
      <w:rPr>
        <w:rFonts w:ascii="Times New Roman" w:hAnsi="Times New Roman" w:eastAsia="宋体" w:cs="Times New Roman"/>
        <w:b/>
        <w:bCs/>
        <w:color w:val="171A1D"/>
        <w:sz w:val="20"/>
        <w:szCs w:val="20"/>
        <w:shd w:val="clear" w:color="auto" w:fill="FFFFFF"/>
      </w:rPr>
      <w:t>1</w:t>
    </w:r>
    <w:r>
      <w:rPr>
        <w:rFonts w:ascii="Times New Roman" w:hAnsi="Times New Roman" w:eastAsia="宋体" w:cs="Times New Roman"/>
        <w:b/>
        <w:bCs/>
        <w:color w:val="171A1D"/>
        <w:sz w:val="20"/>
        <w:szCs w:val="20"/>
        <w:shd w:val="clear" w:color="auto" w:fill="FFFFFF"/>
      </w:rPr>
      <w:fldChar w:fldCharType="end"/>
    </w:r>
    <w:r>
      <w:rPr>
        <w:rFonts w:ascii="Times New Roman" w:hAnsi="Times New Roman" w:eastAsia="宋体" w:cs="Times New Roman"/>
        <w:b/>
        <w:bCs/>
        <w:color w:val="171A1D"/>
        <w:sz w:val="20"/>
        <w:szCs w:val="20"/>
        <w:shd w:val="clear" w:color="auto" w:fill="FFFFFF"/>
      </w:rPr>
      <w:t>页</w:t>
    </w:r>
    <w:r>
      <w:rPr>
        <w:rFonts w:ascii="Times New Roman" w:hAnsi="Times New Roman" w:eastAsia="宋体" w:cs="Times New Roman"/>
        <w:color w:val="171A1D"/>
        <w:sz w:val="20"/>
        <w:szCs w:val="20"/>
        <w:shd w:val="clear" w:color="auto" w:fill="FFFFFF"/>
        <w:lang w:val="zh-CN"/>
      </w:rPr>
      <w:t xml:space="preserve"> /共</w:t>
    </w:r>
    <w:r>
      <w:rPr>
        <w:rFonts w:ascii="Times New Roman" w:hAnsi="Times New Roman" w:eastAsia="宋体" w:cs="Times New Roman"/>
        <w:b/>
        <w:bCs/>
        <w:color w:val="171A1D"/>
        <w:sz w:val="20"/>
        <w:szCs w:val="20"/>
        <w:shd w:val="clear" w:color="auto" w:fill="FFFFFF"/>
      </w:rPr>
      <w:fldChar w:fldCharType="begin"/>
    </w:r>
    <w:r>
      <w:rPr>
        <w:rFonts w:ascii="Times New Roman" w:hAnsi="Times New Roman" w:eastAsia="宋体" w:cs="Times New Roman"/>
        <w:b/>
        <w:bCs/>
        <w:color w:val="171A1D"/>
        <w:sz w:val="20"/>
        <w:szCs w:val="20"/>
        <w:shd w:val="clear" w:color="auto" w:fill="FFFFFF"/>
      </w:rPr>
      <w:instrText xml:space="preserve">NUMPAGES  \* Arabic  \* MERGEFORMAT</w:instrText>
    </w:r>
    <w:r>
      <w:rPr>
        <w:rFonts w:ascii="Times New Roman" w:hAnsi="Times New Roman" w:eastAsia="宋体" w:cs="Times New Roman"/>
        <w:b/>
        <w:bCs/>
        <w:color w:val="171A1D"/>
        <w:sz w:val="20"/>
        <w:szCs w:val="20"/>
        <w:shd w:val="clear" w:color="auto" w:fill="FFFFFF"/>
      </w:rPr>
      <w:fldChar w:fldCharType="separate"/>
    </w:r>
    <w:r>
      <w:rPr>
        <w:rFonts w:ascii="Times New Roman" w:hAnsi="Times New Roman" w:eastAsia="宋体" w:cs="Times New Roman"/>
        <w:b/>
        <w:bCs/>
        <w:color w:val="171A1D"/>
        <w:sz w:val="20"/>
        <w:szCs w:val="20"/>
        <w:shd w:val="clear" w:color="auto" w:fill="FFFFFF"/>
      </w:rPr>
      <w:t>9</w:t>
    </w:r>
    <w:r>
      <w:rPr>
        <w:rFonts w:ascii="Times New Roman" w:hAnsi="Times New Roman" w:eastAsia="宋体" w:cs="Times New Roman"/>
        <w:b/>
        <w:bCs/>
        <w:color w:val="171A1D"/>
        <w:sz w:val="20"/>
        <w:szCs w:val="20"/>
        <w:shd w:val="clear" w:color="auto" w:fill="FFFFFF"/>
      </w:rPr>
      <w:fldChar w:fldCharType="end"/>
    </w:r>
    <w:r>
      <w:rPr>
        <w:rFonts w:ascii="Times New Roman" w:hAnsi="Times New Roman" w:eastAsia="宋体" w:cs="Times New Roman"/>
        <w:b/>
        <w:bCs/>
        <w:color w:val="171A1D"/>
        <w:sz w:val="20"/>
        <w:szCs w:val="20"/>
        <w:shd w:val="clear" w:color="auto" w:fill="FFFFFF"/>
      </w:rPr>
      <w:t>页</w:t>
    </w:r>
    <w:r>
      <w:rPr>
        <w:rFonts w:hint="eastAsia" w:ascii="Times New Roman" w:hAnsi="Times New Roman" w:eastAsia="宋体" w:cs="Times New Roman"/>
        <w:b/>
        <w:bCs/>
        <w:color w:val="171A1D"/>
        <w:sz w:val="20"/>
        <w:szCs w:val="20"/>
        <w:shd w:val="clear" w:color="auto" w:fill="FFFFFF"/>
      </w:rPr>
      <w:t xml:space="preserve"> </w:t>
    </w:r>
    <w:r>
      <w:rPr>
        <w:rFonts w:ascii="Times New Roman" w:hAnsi="Times New Roman" w:eastAsia="宋体" w:cs="Times New Roman"/>
        <w:b/>
        <w:bCs/>
        <w:color w:val="171A1D"/>
        <w:sz w:val="20"/>
        <w:szCs w:val="20"/>
        <w:shd w:val="clear" w:color="auto" w:fill="FFFFFF"/>
      </w:rPr>
      <w:t xml:space="preserve">                </w:t>
    </w:r>
    <w:bookmarkStart w:id="8" w:name="_Hlk119427685"/>
    <w:bookmarkStart w:id="9" w:name="_Hlk119427522"/>
    <w:r>
      <w:rPr>
        <w:rFonts w:ascii="Times New Roman" w:hAnsi="Times New Roman" w:eastAsia="宋体" w:cs="Times New Roman"/>
        <w:color w:val="171A1D"/>
        <w:sz w:val="20"/>
        <w:szCs w:val="20"/>
        <w:shd w:val="clear" w:color="auto" w:fill="FFFFFF"/>
      </w:rPr>
      <w:t>表单号：BD-CPCTY-0001 A0</w:t>
    </w:r>
    <w:bookmarkEnd w:id="8"/>
    <w:bookmarkEnd w:id="9"/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4"/>
      <w:ind w:left="4320" w:hanging="4320" w:hangingChars="2400"/>
      <w:jc w:val="both"/>
    </w:pPr>
    <w:r>
      <w:drawing>
        <wp:inline distT="0" distB="0" distL="0" distR="0">
          <wp:extent cx="2462530" cy="723900"/>
          <wp:effectExtent l="0" t="0" r="0" b="0"/>
          <wp:docPr id="4" name="图片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图片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462530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eastAsia"/>
      </w:rPr>
      <w:tab/>
    </w:r>
    <w:r>
      <w:rPr>
        <w:rFonts w:hint="eastAsia"/>
      </w:rPr>
      <w:t xml:space="preserve">          </w:t>
    </w:r>
    <w:r>
      <w:t xml:space="preserve">           </w:t>
    </w:r>
    <w:r>
      <w:rPr>
        <w:rFonts w:hint="eastAsia"/>
      </w:rPr>
      <w:t xml:space="preserve"> </w:t>
    </w:r>
    <w:r>
      <w:t xml:space="preserve">   </w:t>
    </w:r>
    <w:r>
      <w:rPr>
        <w:rFonts w:hint="eastAsia"/>
      </w:rPr>
      <w:drawing>
        <wp:inline distT="0" distB="0" distL="114300" distR="114300">
          <wp:extent cx="2376805" cy="826135"/>
          <wp:effectExtent l="0" t="0" r="4445" b="2540"/>
          <wp:docPr id="3" name="图片 3" descr="页眉右边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3" descr="页眉右边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376805" cy="8261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                       </w:t>
    </w:r>
    <w:r>
      <w:rPr>
        <w:rFonts w:hint="eastAsia"/>
      </w:rPr>
      <w:t xml:space="preserve">       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4"/>
      <w:ind w:left="5580" w:hanging="5580" w:hangingChars="3100"/>
      <w:jc w:val="both"/>
    </w:pPr>
    <w:r>
      <w:drawing>
        <wp:inline distT="0" distB="0" distL="0" distR="0">
          <wp:extent cx="2462530" cy="723900"/>
          <wp:effectExtent l="0" t="0" r="4445" b="0"/>
          <wp:docPr id="2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462530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       </w:t>
    </w:r>
    <w:r>
      <w:rPr>
        <w:rFonts w:hint="eastAsia"/>
      </w:rPr>
      <w:drawing>
        <wp:inline distT="0" distB="0" distL="114300" distR="114300">
          <wp:extent cx="2376805" cy="826135"/>
          <wp:effectExtent l="0" t="0" r="4445" b="2540"/>
          <wp:docPr id="28" name="图片 28" descr="页眉右边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" name="图片 28" descr="页眉右边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376805" cy="8261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</w:t>
    </w:r>
    <w:r>
      <w:rPr>
        <w:rFonts w:hint="eastAsia"/>
      </w:rPr>
      <w:t xml:space="preserve">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9385D7B"/>
    <w:multiLevelType w:val="multilevel"/>
    <w:tmpl w:val="09385D7B"/>
    <w:lvl w:ilvl="0" w:tentative="0">
      <w:start w:val="1"/>
      <w:numFmt w:val="bullet"/>
      <w:lvlText w:val=""/>
      <w:lvlJc w:val="left"/>
      <w:pPr>
        <w:ind w:left="84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26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68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10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52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94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6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78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200" w:hanging="420"/>
      </w:pPr>
      <w:rPr>
        <w:rFonts w:hint="default" w:ascii="Wingdings" w:hAnsi="Wingdings"/>
      </w:rPr>
    </w:lvl>
  </w:abstractNum>
  <w:abstractNum w:abstractNumId="1">
    <w:nsid w:val="119406EC"/>
    <w:multiLevelType w:val="multilevel"/>
    <w:tmpl w:val="119406EC"/>
    <w:lvl w:ilvl="0" w:tentative="0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235B25A5"/>
    <w:multiLevelType w:val="multilevel"/>
    <w:tmpl w:val="235B25A5"/>
    <w:lvl w:ilvl="0" w:tentative="0">
      <w:start w:val="5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690B1FBE"/>
    <w:multiLevelType w:val="multilevel"/>
    <w:tmpl w:val="690B1FBE"/>
    <w:lvl w:ilvl="0" w:tentative="0">
      <w:start w:val="1"/>
      <w:numFmt w:val="bullet"/>
      <w:lvlText w:val=""/>
      <w:lvlJc w:val="left"/>
      <w:pPr>
        <w:ind w:left="84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26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68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10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52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94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6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78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200" w:hanging="420"/>
      </w:pPr>
      <w:rPr>
        <w:rFonts w:hint="default" w:ascii="Wingdings" w:hAnsi="Wingdings"/>
      </w:rPr>
    </w:lvl>
  </w:abstractNum>
  <w:abstractNum w:abstractNumId="4">
    <w:nsid w:val="75E64C66"/>
    <w:multiLevelType w:val="multilevel"/>
    <w:tmpl w:val="75E64C66"/>
    <w:lvl w:ilvl="0" w:tentative="0">
      <w:start w:val="1"/>
      <w:numFmt w:val="decimal"/>
      <w:lvlText w:val="%1)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TM2NDY4NDdlNzRkMWM2MjI0MmUwZDhlMTI5NTg1YWEifQ=="/>
  </w:docVars>
  <w:rsids>
    <w:rsidRoot w:val="00EE2239"/>
    <w:rsid w:val="00034552"/>
    <w:rsid w:val="000355CA"/>
    <w:rsid w:val="00040F9D"/>
    <w:rsid w:val="000678A8"/>
    <w:rsid w:val="00086ACB"/>
    <w:rsid w:val="00086AFE"/>
    <w:rsid w:val="00093538"/>
    <w:rsid w:val="000A64E2"/>
    <w:rsid w:val="000B3DFC"/>
    <w:rsid w:val="000C0A5E"/>
    <w:rsid w:val="000C3003"/>
    <w:rsid w:val="000C50A8"/>
    <w:rsid w:val="000F5B6D"/>
    <w:rsid w:val="001020AD"/>
    <w:rsid w:val="00102DB8"/>
    <w:rsid w:val="001039F4"/>
    <w:rsid w:val="00112271"/>
    <w:rsid w:val="001128B1"/>
    <w:rsid w:val="00131FEB"/>
    <w:rsid w:val="00132C8D"/>
    <w:rsid w:val="001343A8"/>
    <w:rsid w:val="00147EA9"/>
    <w:rsid w:val="00157397"/>
    <w:rsid w:val="0017241F"/>
    <w:rsid w:val="00193A63"/>
    <w:rsid w:val="001B4017"/>
    <w:rsid w:val="001E03F6"/>
    <w:rsid w:val="00205486"/>
    <w:rsid w:val="00210A86"/>
    <w:rsid w:val="00213AFE"/>
    <w:rsid w:val="00286C39"/>
    <w:rsid w:val="0029030D"/>
    <w:rsid w:val="00295F7B"/>
    <w:rsid w:val="002B3994"/>
    <w:rsid w:val="002C6ADA"/>
    <w:rsid w:val="002C77E8"/>
    <w:rsid w:val="002D1CA1"/>
    <w:rsid w:val="002D6FB1"/>
    <w:rsid w:val="00315374"/>
    <w:rsid w:val="00315BB1"/>
    <w:rsid w:val="00327C25"/>
    <w:rsid w:val="00330BD7"/>
    <w:rsid w:val="0035080F"/>
    <w:rsid w:val="00352C00"/>
    <w:rsid w:val="00356F3F"/>
    <w:rsid w:val="00375CB2"/>
    <w:rsid w:val="003D75DC"/>
    <w:rsid w:val="003F266E"/>
    <w:rsid w:val="00400A93"/>
    <w:rsid w:val="004028C0"/>
    <w:rsid w:val="00432739"/>
    <w:rsid w:val="0044733F"/>
    <w:rsid w:val="00451480"/>
    <w:rsid w:val="00457C71"/>
    <w:rsid w:val="004627B9"/>
    <w:rsid w:val="00464436"/>
    <w:rsid w:val="004773A2"/>
    <w:rsid w:val="00485CD3"/>
    <w:rsid w:val="004A22AA"/>
    <w:rsid w:val="004A6AB6"/>
    <w:rsid w:val="004B6616"/>
    <w:rsid w:val="004D7995"/>
    <w:rsid w:val="004E30D0"/>
    <w:rsid w:val="004F3B59"/>
    <w:rsid w:val="00504BAC"/>
    <w:rsid w:val="0051138D"/>
    <w:rsid w:val="00514AFB"/>
    <w:rsid w:val="00525BC6"/>
    <w:rsid w:val="0053098E"/>
    <w:rsid w:val="00530D40"/>
    <w:rsid w:val="00552C74"/>
    <w:rsid w:val="00555120"/>
    <w:rsid w:val="005701E6"/>
    <w:rsid w:val="00572364"/>
    <w:rsid w:val="005736F9"/>
    <w:rsid w:val="00583456"/>
    <w:rsid w:val="00590301"/>
    <w:rsid w:val="00592132"/>
    <w:rsid w:val="0059410B"/>
    <w:rsid w:val="005A4F4B"/>
    <w:rsid w:val="005A7A0C"/>
    <w:rsid w:val="005B0A3E"/>
    <w:rsid w:val="005C604B"/>
    <w:rsid w:val="005D20BA"/>
    <w:rsid w:val="006026D1"/>
    <w:rsid w:val="006063D8"/>
    <w:rsid w:val="0061621C"/>
    <w:rsid w:val="006355BE"/>
    <w:rsid w:val="006422A0"/>
    <w:rsid w:val="00655A27"/>
    <w:rsid w:val="00673FC3"/>
    <w:rsid w:val="006854D3"/>
    <w:rsid w:val="006A2EB5"/>
    <w:rsid w:val="006A6E60"/>
    <w:rsid w:val="006B2397"/>
    <w:rsid w:val="006C5CB9"/>
    <w:rsid w:val="006D0084"/>
    <w:rsid w:val="006E75AA"/>
    <w:rsid w:val="007067D8"/>
    <w:rsid w:val="007355A7"/>
    <w:rsid w:val="00752B9D"/>
    <w:rsid w:val="00773493"/>
    <w:rsid w:val="0077496E"/>
    <w:rsid w:val="00790D07"/>
    <w:rsid w:val="007B412B"/>
    <w:rsid w:val="007B5223"/>
    <w:rsid w:val="0080459E"/>
    <w:rsid w:val="008179CD"/>
    <w:rsid w:val="008C304A"/>
    <w:rsid w:val="008C43E8"/>
    <w:rsid w:val="00906440"/>
    <w:rsid w:val="00910126"/>
    <w:rsid w:val="00916448"/>
    <w:rsid w:val="00916CC4"/>
    <w:rsid w:val="00917A5E"/>
    <w:rsid w:val="00926B11"/>
    <w:rsid w:val="0093237D"/>
    <w:rsid w:val="00950714"/>
    <w:rsid w:val="009607DF"/>
    <w:rsid w:val="00983086"/>
    <w:rsid w:val="009C02FC"/>
    <w:rsid w:val="009D23B8"/>
    <w:rsid w:val="009D2E7B"/>
    <w:rsid w:val="009D3F32"/>
    <w:rsid w:val="009D4C9F"/>
    <w:rsid w:val="00A00E7B"/>
    <w:rsid w:val="00A064FD"/>
    <w:rsid w:val="00A15D3E"/>
    <w:rsid w:val="00A17F0B"/>
    <w:rsid w:val="00A2673F"/>
    <w:rsid w:val="00A30D02"/>
    <w:rsid w:val="00A543DF"/>
    <w:rsid w:val="00A55A95"/>
    <w:rsid w:val="00A63074"/>
    <w:rsid w:val="00A665EC"/>
    <w:rsid w:val="00A66659"/>
    <w:rsid w:val="00A837FF"/>
    <w:rsid w:val="00AA3C73"/>
    <w:rsid w:val="00AB2232"/>
    <w:rsid w:val="00AB7A25"/>
    <w:rsid w:val="00AD6500"/>
    <w:rsid w:val="00AF25A0"/>
    <w:rsid w:val="00AF7A26"/>
    <w:rsid w:val="00B465D8"/>
    <w:rsid w:val="00B55148"/>
    <w:rsid w:val="00B557FF"/>
    <w:rsid w:val="00B63C8F"/>
    <w:rsid w:val="00B72D1A"/>
    <w:rsid w:val="00BB08E1"/>
    <w:rsid w:val="00BB6CBA"/>
    <w:rsid w:val="00BC2526"/>
    <w:rsid w:val="00BD1454"/>
    <w:rsid w:val="00BF55EB"/>
    <w:rsid w:val="00C02CC3"/>
    <w:rsid w:val="00C10124"/>
    <w:rsid w:val="00C13E44"/>
    <w:rsid w:val="00C171C3"/>
    <w:rsid w:val="00C343A4"/>
    <w:rsid w:val="00C41ADF"/>
    <w:rsid w:val="00CB11B5"/>
    <w:rsid w:val="00D26A4B"/>
    <w:rsid w:val="00D2756F"/>
    <w:rsid w:val="00D32400"/>
    <w:rsid w:val="00D32466"/>
    <w:rsid w:val="00D37526"/>
    <w:rsid w:val="00D56583"/>
    <w:rsid w:val="00D706BE"/>
    <w:rsid w:val="00D84E81"/>
    <w:rsid w:val="00DC52F9"/>
    <w:rsid w:val="00E21325"/>
    <w:rsid w:val="00E32342"/>
    <w:rsid w:val="00E47FA0"/>
    <w:rsid w:val="00E523E0"/>
    <w:rsid w:val="00E5532E"/>
    <w:rsid w:val="00E623FC"/>
    <w:rsid w:val="00E67346"/>
    <w:rsid w:val="00EC3907"/>
    <w:rsid w:val="00EC4223"/>
    <w:rsid w:val="00EE2239"/>
    <w:rsid w:val="00EF0167"/>
    <w:rsid w:val="00EF36F4"/>
    <w:rsid w:val="00F35BB0"/>
    <w:rsid w:val="00F41DB5"/>
    <w:rsid w:val="00F67EB6"/>
    <w:rsid w:val="00FA56F1"/>
    <w:rsid w:val="00FC211B"/>
    <w:rsid w:val="00FC6A24"/>
    <w:rsid w:val="00FD01D8"/>
    <w:rsid w:val="00FD0D8A"/>
    <w:rsid w:val="04B213C1"/>
    <w:rsid w:val="057E74F5"/>
    <w:rsid w:val="05A131E3"/>
    <w:rsid w:val="0A9F4195"/>
    <w:rsid w:val="0B6D6042"/>
    <w:rsid w:val="0D224E4F"/>
    <w:rsid w:val="101C440E"/>
    <w:rsid w:val="114E06C3"/>
    <w:rsid w:val="11C91AF8"/>
    <w:rsid w:val="15E2762C"/>
    <w:rsid w:val="16CA259A"/>
    <w:rsid w:val="17D80473"/>
    <w:rsid w:val="183028D1"/>
    <w:rsid w:val="18D94D16"/>
    <w:rsid w:val="1C024584"/>
    <w:rsid w:val="1D61352C"/>
    <w:rsid w:val="1E7B061E"/>
    <w:rsid w:val="1F0B7BF4"/>
    <w:rsid w:val="1F14208B"/>
    <w:rsid w:val="207F7B8E"/>
    <w:rsid w:val="21F11323"/>
    <w:rsid w:val="22EA5D72"/>
    <w:rsid w:val="24561911"/>
    <w:rsid w:val="25800FD6"/>
    <w:rsid w:val="26A34BB6"/>
    <w:rsid w:val="271F0776"/>
    <w:rsid w:val="2A6428AE"/>
    <w:rsid w:val="2B847C6D"/>
    <w:rsid w:val="2D1C7470"/>
    <w:rsid w:val="2D870D8D"/>
    <w:rsid w:val="2E335B48"/>
    <w:rsid w:val="302C5C1C"/>
    <w:rsid w:val="311A1F18"/>
    <w:rsid w:val="315E1E05"/>
    <w:rsid w:val="319620CE"/>
    <w:rsid w:val="35AA386B"/>
    <w:rsid w:val="39616936"/>
    <w:rsid w:val="3C4D4F50"/>
    <w:rsid w:val="3DFC6C2D"/>
    <w:rsid w:val="3DFE0BF8"/>
    <w:rsid w:val="3F163D1F"/>
    <w:rsid w:val="402C30CE"/>
    <w:rsid w:val="445F194D"/>
    <w:rsid w:val="449F6565"/>
    <w:rsid w:val="45E5269D"/>
    <w:rsid w:val="4E870795"/>
    <w:rsid w:val="4E9764FE"/>
    <w:rsid w:val="4EA8496E"/>
    <w:rsid w:val="503F0BFC"/>
    <w:rsid w:val="50BB2978"/>
    <w:rsid w:val="50EC0D83"/>
    <w:rsid w:val="51905BB3"/>
    <w:rsid w:val="51D57A6A"/>
    <w:rsid w:val="52944C12"/>
    <w:rsid w:val="538C05FC"/>
    <w:rsid w:val="552F7491"/>
    <w:rsid w:val="56755377"/>
    <w:rsid w:val="56D54068"/>
    <w:rsid w:val="56F02C50"/>
    <w:rsid w:val="589046EA"/>
    <w:rsid w:val="597D4C6F"/>
    <w:rsid w:val="598D4799"/>
    <w:rsid w:val="5A737E20"/>
    <w:rsid w:val="5B5A4166"/>
    <w:rsid w:val="5C0C052C"/>
    <w:rsid w:val="61AA1D5B"/>
    <w:rsid w:val="62053A53"/>
    <w:rsid w:val="64BE25DF"/>
    <w:rsid w:val="677671A1"/>
    <w:rsid w:val="690A736D"/>
    <w:rsid w:val="69586B5E"/>
    <w:rsid w:val="6A977EC3"/>
    <w:rsid w:val="6C044D7B"/>
    <w:rsid w:val="6DE035C6"/>
    <w:rsid w:val="6EAD133E"/>
    <w:rsid w:val="6F7C10CD"/>
    <w:rsid w:val="746C5BB4"/>
    <w:rsid w:val="74FC0CE6"/>
    <w:rsid w:val="759E7FEF"/>
    <w:rsid w:val="76E93A99"/>
    <w:rsid w:val="77316C41"/>
    <w:rsid w:val="77BE6DDB"/>
    <w:rsid w:val="77BF424C"/>
    <w:rsid w:val="77EC376A"/>
    <w:rsid w:val="78FC4816"/>
    <w:rsid w:val="794932DF"/>
    <w:rsid w:val="7E4E00D8"/>
    <w:rsid w:val="7F4271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0" w:semiHidden="0" w:name="heading 2"/>
    <w:lsdException w:qFormat="1" w:uiPriority="9" w:semiHidden="0" w:name="heading 3"/>
    <w:lsdException w:qFormat="1" w:uiPriority="9" w:semiHidden="0" w:name="heading 4"/>
    <w:lsdException w:qFormat="1" w:uiPriority="9" w:semiHidden="0" w:name="heading 5"/>
    <w:lsdException w:qFormat="1" w:uiPriority="9" w:semiHidden="0" w:name="heading 6"/>
    <w:lsdException w:qFormat="1" w:uiPriority="9" w:name="heading 7"/>
    <w:lsdException w:qFormat="1" w:uiPriority="9" w:name="heading 8"/>
    <w:lsdException w:qFormat="1" w:uiPriority="9" w:semiHidden="0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0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3">
    <w:name w:val="heading 1"/>
    <w:basedOn w:val="4"/>
    <w:next w:val="1"/>
    <w:link w:val="28"/>
    <w:qFormat/>
    <w:uiPriority w:val="9"/>
    <w:pPr>
      <w:spacing w:before="340" w:after="330" w:line="578" w:lineRule="auto"/>
      <w:outlineLvl w:val="0"/>
    </w:pPr>
    <w:rPr>
      <w:kern w:val="44"/>
      <w:sz w:val="44"/>
      <w:szCs w:val="44"/>
    </w:rPr>
  </w:style>
  <w:style w:type="paragraph" w:styleId="4">
    <w:name w:val="heading 2"/>
    <w:basedOn w:val="1"/>
    <w:next w:val="1"/>
    <w:link w:val="25"/>
    <w:unhideWhenUsed/>
    <w:qFormat/>
    <w:uiPriority w:val="0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5">
    <w:name w:val="heading 3"/>
    <w:basedOn w:val="1"/>
    <w:next w:val="1"/>
    <w:link w:val="24"/>
    <w:unhideWhenUsed/>
    <w:qFormat/>
    <w:uiPriority w:val="9"/>
    <w:pPr>
      <w:keepNext/>
      <w:keepLines/>
      <w:spacing w:before="260" w:after="260" w:line="413" w:lineRule="auto"/>
      <w:outlineLvl w:val="2"/>
    </w:pPr>
    <w:rPr>
      <w:b/>
      <w:sz w:val="32"/>
    </w:rPr>
  </w:style>
  <w:style w:type="paragraph" w:styleId="6">
    <w:name w:val="heading 4"/>
    <w:basedOn w:val="1"/>
    <w:next w:val="1"/>
    <w:link w:val="44"/>
    <w:unhideWhenUsed/>
    <w:qFormat/>
    <w:uiPriority w:val="9"/>
    <w:pPr>
      <w:keepNext/>
      <w:keepLines/>
      <w:spacing w:before="280" w:after="290" w:line="376" w:lineRule="auto"/>
      <w:outlineLvl w:val="3"/>
    </w:pPr>
    <w:rPr>
      <w:rFonts w:asciiTheme="majorHAnsi" w:hAnsiTheme="majorHAnsi" w:eastAsiaTheme="majorEastAsia" w:cstheme="majorBidi"/>
      <w:b/>
      <w:bCs/>
      <w:sz w:val="28"/>
      <w:szCs w:val="28"/>
    </w:rPr>
  </w:style>
  <w:style w:type="paragraph" w:styleId="7">
    <w:name w:val="heading 5"/>
    <w:basedOn w:val="1"/>
    <w:next w:val="1"/>
    <w:link w:val="43"/>
    <w:unhideWhenUsed/>
    <w:qFormat/>
    <w:uiPriority w:val="9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8">
    <w:name w:val="heading 6"/>
    <w:basedOn w:val="1"/>
    <w:next w:val="1"/>
    <w:unhideWhenUsed/>
    <w:qFormat/>
    <w:uiPriority w:val="9"/>
    <w:pPr>
      <w:keepNext/>
      <w:keepLines/>
      <w:spacing w:before="240" w:after="64" w:line="320" w:lineRule="auto"/>
      <w:outlineLvl w:val="5"/>
    </w:pPr>
    <w:rPr>
      <w:rFonts w:asciiTheme="majorHAnsi" w:hAnsiTheme="majorHAnsi" w:eastAsiaTheme="majorEastAsia" w:cstheme="majorBidi"/>
      <w:b/>
      <w:bCs/>
      <w:sz w:val="24"/>
      <w:szCs w:val="24"/>
    </w:rPr>
  </w:style>
  <w:style w:type="paragraph" w:styleId="9">
    <w:name w:val="heading 9"/>
    <w:basedOn w:val="1"/>
    <w:next w:val="1"/>
    <w:unhideWhenUsed/>
    <w:qFormat/>
    <w:uiPriority w:val="9"/>
    <w:pPr>
      <w:keepNext/>
      <w:keepLines/>
      <w:spacing w:before="240" w:after="64" w:line="317" w:lineRule="auto"/>
      <w:outlineLvl w:val="8"/>
    </w:pPr>
    <w:rPr>
      <w:rFonts w:ascii="Arial" w:hAnsi="Arial" w:eastAsia="黑体"/>
    </w:rPr>
  </w:style>
  <w:style w:type="character" w:default="1" w:styleId="19">
    <w:name w:val="Default Paragraph Font"/>
    <w:semiHidden/>
    <w:unhideWhenUsed/>
    <w:qFormat/>
    <w:uiPriority w:val="1"/>
  </w:style>
  <w:style w:type="table" w:default="1" w:styleId="1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Default"/>
    <w:qFormat/>
    <w:uiPriority w:val="0"/>
    <w:pPr>
      <w:widowControl w:val="0"/>
      <w:autoSpaceDE w:val="0"/>
      <w:autoSpaceDN w:val="0"/>
      <w:adjustRightInd w:val="0"/>
    </w:pPr>
    <w:rPr>
      <w:rFonts w:ascii="宋体" w:hAnsi="Times New Roman" w:eastAsia="宋体" w:cs="宋体"/>
      <w:color w:val="000000"/>
      <w:sz w:val="24"/>
      <w:szCs w:val="24"/>
      <w:lang w:val="en-US" w:eastAsia="zh-CN" w:bidi="ar-SA"/>
    </w:rPr>
  </w:style>
  <w:style w:type="paragraph" w:styleId="10">
    <w:name w:val="annotation text"/>
    <w:basedOn w:val="1"/>
    <w:semiHidden/>
    <w:unhideWhenUsed/>
    <w:qFormat/>
    <w:uiPriority w:val="99"/>
    <w:pPr>
      <w:jc w:val="left"/>
    </w:pPr>
  </w:style>
  <w:style w:type="paragraph" w:styleId="11">
    <w:name w:val="Body Text"/>
    <w:basedOn w:val="1"/>
    <w:qFormat/>
    <w:uiPriority w:val="1"/>
    <w:pPr>
      <w:spacing w:before="115"/>
      <w:ind w:left="600"/>
    </w:pPr>
    <w:rPr>
      <w:rFonts w:ascii="宋体" w:hAnsi="宋体"/>
      <w:sz w:val="20"/>
      <w:szCs w:val="20"/>
    </w:rPr>
  </w:style>
  <w:style w:type="paragraph" w:styleId="12">
    <w:name w:val="Balloon Text"/>
    <w:basedOn w:val="1"/>
    <w:link w:val="23"/>
    <w:semiHidden/>
    <w:unhideWhenUsed/>
    <w:qFormat/>
    <w:uiPriority w:val="99"/>
    <w:rPr>
      <w:sz w:val="18"/>
      <w:szCs w:val="18"/>
    </w:rPr>
  </w:style>
  <w:style w:type="paragraph" w:styleId="13">
    <w:name w:val="footer"/>
    <w:basedOn w:val="1"/>
    <w:link w:val="22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4">
    <w:name w:val="header"/>
    <w:basedOn w:val="1"/>
    <w:link w:val="2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5">
    <w:name w:val="toc 1"/>
    <w:basedOn w:val="1"/>
    <w:next w:val="1"/>
    <w:unhideWhenUsed/>
    <w:qFormat/>
    <w:uiPriority w:val="39"/>
  </w:style>
  <w:style w:type="paragraph" w:styleId="16">
    <w:name w:val="Title"/>
    <w:basedOn w:val="1"/>
    <w:next w:val="1"/>
    <w:link w:val="41"/>
    <w:qFormat/>
    <w:uiPriority w:val="10"/>
    <w:pPr>
      <w:spacing w:before="240" w:after="60"/>
      <w:jc w:val="center"/>
      <w:outlineLvl w:val="0"/>
    </w:pPr>
    <w:rPr>
      <w:rFonts w:asciiTheme="majorHAnsi" w:hAnsiTheme="majorHAnsi" w:eastAsiaTheme="majorEastAsia" w:cstheme="majorBidi"/>
      <w:b/>
      <w:bCs/>
      <w:sz w:val="32"/>
      <w:szCs w:val="32"/>
    </w:rPr>
  </w:style>
  <w:style w:type="table" w:styleId="18">
    <w:name w:val="Table Grid"/>
    <w:basedOn w:val="17"/>
    <w:qFormat/>
    <w:uiPriority w:val="0"/>
    <w:rPr>
      <w:rFonts w:eastAsia="微软雅黑"/>
      <w:sz w:val="22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0">
    <w:name w:val="Hyperlink"/>
    <w:basedOn w:val="19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customStyle="1" w:styleId="21">
    <w:name w:val="页眉 字符"/>
    <w:basedOn w:val="19"/>
    <w:link w:val="14"/>
    <w:qFormat/>
    <w:uiPriority w:val="99"/>
    <w:rPr>
      <w:sz w:val="18"/>
      <w:szCs w:val="18"/>
    </w:rPr>
  </w:style>
  <w:style w:type="character" w:customStyle="1" w:styleId="22">
    <w:name w:val="页脚 字符"/>
    <w:basedOn w:val="19"/>
    <w:link w:val="13"/>
    <w:qFormat/>
    <w:uiPriority w:val="99"/>
    <w:rPr>
      <w:sz w:val="18"/>
      <w:szCs w:val="18"/>
    </w:rPr>
  </w:style>
  <w:style w:type="character" w:customStyle="1" w:styleId="23">
    <w:name w:val="批注框文本 字符"/>
    <w:basedOn w:val="19"/>
    <w:link w:val="12"/>
    <w:semiHidden/>
    <w:qFormat/>
    <w:uiPriority w:val="99"/>
    <w:rPr>
      <w:sz w:val="18"/>
      <w:szCs w:val="18"/>
    </w:rPr>
  </w:style>
  <w:style w:type="character" w:customStyle="1" w:styleId="24">
    <w:name w:val="标题 3 字符"/>
    <w:basedOn w:val="19"/>
    <w:link w:val="5"/>
    <w:qFormat/>
    <w:uiPriority w:val="9"/>
    <w:rPr>
      <w:b/>
      <w:sz w:val="32"/>
    </w:rPr>
  </w:style>
  <w:style w:type="character" w:customStyle="1" w:styleId="25">
    <w:name w:val="标题 2 字符"/>
    <w:basedOn w:val="19"/>
    <w:link w:val="4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paragraph" w:customStyle="1" w:styleId="26">
    <w:name w:val="列表段落1"/>
    <w:basedOn w:val="1"/>
    <w:qFormat/>
    <w:uiPriority w:val="34"/>
    <w:pPr>
      <w:ind w:firstLine="420" w:firstLineChars="200"/>
    </w:pPr>
  </w:style>
  <w:style w:type="paragraph" w:styleId="27">
    <w:name w:val="List Paragraph"/>
    <w:basedOn w:val="1"/>
    <w:qFormat/>
    <w:uiPriority w:val="34"/>
    <w:pPr>
      <w:ind w:firstLine="420" w:firstLineChars="200"/>
    </w:pPr>
  </w:style>
  <w:style w:type="character" w:customStyle="1" w:styleId="28">
    <w:name w:val="标题 1 字符"/>
    <w:basedOn w:val="19"/>
    <w:link w:val="3"/>
    <w:qFormat/>
    <w:uiPriority w:val="9"/>
    <w:rPr>
      <w:b/>
      <w:bCs/>
      <w:kern w:val="44"/>
      <w:sz w:val="44"/>
      <w:szCs w:val="44"/>
    </w:rPr>
  </w:style>
  <w:style w:type="paragraph" w:customStyle="1" w:styleId="29">
    <w:name w:val="TOC 标题1"/>
    <w:basedOn w:val="3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b w:val="0"/>
      <w:bCs w:val="0"/>
      <w:color w:val="376092" w:themeColor="accent1" w:themeShade="BF"/>
      <w:kern w:val="0"/>
      <w:sz w:val="32"/>
      <w:szCs w:val="32"/>
    </w:rPr>
  </w:style>
  <w:style w:type="paragraph" w:customStyle="1" w:styleId="30">
    <w:name w:val="图片"/>
    <w:basedOn w:val="1"/>
    <w:qFormat/>
    <w:uiPriority w:val="0"/>
    <w:pPr>
      <w:spacing w:before="50" w:beforeLines="50" w:line="480" w:lineRule="auto"/>
      <w:jc w:val="center"/>
    </w:pPr>
    <w:rPr>
      <w:rFonts w:ascii="Times New Roman" w:hAnsi="Times New Roman" w:cs="Times New Roman"/>
      <w:color w:val="000000"/>
      <w:kern w:val="0"/>
      <w:sz w:val="19"/>
      <w:szCs w:val="19"/>
      <w:lang w:val="zh-CN" w:bidi="zh-CN"/>
    </w:rPr>
  </w:style>
  <w:style w:type="paragraph" w:customStyle="1" w:styleId="31">
    <w:name w:val="样式1"/>
    <w:basedOn w:val="3"/>
    <w:next w:val="1"/>
    <w:qFormat/>
    <w:uiPriority w:val="0"/>
    <w:pPr>
      <w:spacing w:before="100" w:after="90"/>
    </w:pPr>
  </w:style>
  <w:style w:type="paragraph" w:customStyle="1" w:styleId="32">
    <w:name w:val="样式2"/>
    <w:basedOn w:val="3"/>
    <w:next w:val="1"/>
    <w:qFormat/>
    <w:uiPriority w:val="0"/>
    <w:pPr>
      <w:spacing w:before="120" w:after="120" w:line="360" w:lineRule="auto"/>
    </w:pPr>
  </w:style>
  <w:style w:type="paragraph" w:customStyle="1" w:styleId="33">
    <w:name w:val="WPSOffice手动目录 1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paragraph" w:customStyle="1" w:styleId="34">
    <w:name w:val="WPSOffice手动目录 2"/>
    <w:qFormat/>
    <w:uiPriority w:val="0"/>
    <w:pPr>
      <w:ind w:left="200" w:leftChars="200"/>
    </w:pPr>
    <w:rPr>
      <w:rFonts w:asciiTheme="minorHAnsi" w:hAnsiTheme="minorHAnsi" w:eastAsiaTheme="minorEastAsia" w:cstheme="minorBidi"/>
      <w:lang w:val="en-US" w:eastAsia="zh-CN" w:bidi="ar-SA"/>
    </w:rPr>
  </w:style>
  <w:style w:type="paragraph" w:customStyle="1" w:styleId="35">
    <w:name w:val="WPSOffice手动目录 3"/>
    <w:qFormat/>
    <w:uiPriority w:val="0"/>
    <w:pPr>
      <w:ind w:left="400" w:leftChars="400"/>
    </w:pPr>
    <w:rPr>
      <w:rFonts w:asciiTheme="minorHAnsi" w:hAnsiTheme="minorHAnsi" w:eastAsiaTheme="minorEastAsia" w:cstheme="minorBidi"/>
      <w:lang w:val="en-US" w:eastAsia="zh-CN" w:bidi="ar-SA"/>
    </w:rPr>
  </w:style>
  <w:style w:type="paragraph" w:customStyle="1" w:styleId="36">
    <w:name w:val="Table Paragraph"/>
    <w:basedOn w:val="1"/>
    <w:qFormat/>
    <w:uiPriority w:val="1"/>
  </w:style>
  <w:style w:type="paragraph" w:styleId="37">
    <w:name w:val="No Spacing"/>
    <w:qFormat/>
    <w:uiPriority w:val="1"/>
    <w:pPr>
      <w:adjustRightInd w:val="0"/>
      <w:snapToGrid w:val="0"/>
    </w:pPr>
    <w:rPr>
      <w:rFonts w:ascii="Tahoma" w:hAnsi="Tahoma" w:eastAsia="微软雅黑" w:cstheme="minorBidi"/>
      <w:sz w:val="22"/>
      <w:szCs w:val="22"/>
      <w:lang w:val="en-US" w:eastAsia="zh-CN" w:bidi="ar-SA"/>
    </w:rPr>
  </w:style>
  <w:style w:type="table" w:customStyle="1" w:styleId="38">
    <w:name w:val="网格型1"/>
    <w:basedOn w:val="17"/>
    <w:qFormat/>
    <w:uiPriority w:val="0"/>
    <w:pPr>
      <w:widowControl w:val="0"/>
      <w:jc w:val="both"/>
    </w:pPr>
    <w:rPr>
      <w:rFonts w:ascii="Times New Roman" w:hAnsi="Times New Roman" w:eastAsia="宋体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39">
    <w:name w:val="Block Label"/>
    <w:basedOn w:val="16"/>
    <w:next w:val="1"/>
    <w:qFormat/>
    <w:uiPriority w:val="0"/>
    <w:pPr>
      <w:keepNext/>
      <w:keepLines/>
      <w:tabs>
        <w:tab w:val="left" w:pos="360"/>
      </w:tabs>
      <w:spacing w:after="240"/>
      <w:ind w:left="2520" w:hanging="420"/>
      <w:jc w:val="both"/>
      <w:outlineLvl w:val="9"/>
    </w:pPr>
    <w:rPr>
      <w:rFonts w:ascii="Times new Roam" w:hAnsi="Times new Roam" w:cs="Book Antiqua" w:eastAsiaTheme="minorEastAsia"/>
      <w:bCs w:val="0"/>
      <w:color w:val="0063A8"/>
      <w:kern w:val="0"/>
      <w:sz w:val="24"/>
      <w:szCs w:val="26"/>
      <w:u w:val="double"/>
      <w14:numSpacing w14:val="tabular"/>
    </w:rPr>
  </w:style>
  <w:style w:type="paragraph" w:customStyle="1" w:styleId="40">
    <w:name w:val="Step"/>
    <w:basedOn w:val="1"/>
    <w:qFormat/>
    <w:uiPriority w:val="0"/>
    <w:pPr>
      <w:tabs>
        <w:tab w:val="left" w:pos="3420"/>
        <w:tab w:val="left" w:pos="3686"/>
      </w:tabs>
      <w:adjustRightInd w:val="0"/>
      <w:snapToGrid w:val="0"/>
      <w:spacing w:before="160" w:after="160"/>
      <w:ind w:left="1134" w:hanging="283"/>
    </w:pPr>
    <w:rPr>
      <w:kern w:val="0"/>
    </w:rPr>
  </w:style>
  <w:style w:type="character" w:customStyle="1" w:styleId="41">
    <w:name w:val="标题 字符"/>
    <w:basedOn w:val="19"/>
    <w:link w:val="16"/>
    <w:qFormat/>
    <w:uiPriority w:val="10"/>
    <w:rPr>
      <w:rFonts w:asciiTheme="majorHAnsi" w:hAnsiTheme="majorHAnsi" w:eastAsiaTheme="majorEastAsia" w:cstheme="majorBidi"/>
      <w:b/>
      <w:bCs/>
      <w:kern w:val="2"/>
      <w:sz w:val="32"/>
      <w:szCs w:val="32"/>
    </w:rPr>
  </w:style>
  <w:style w:type="table" w:customStyle="1" w:styleId="42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43">
    <w:name w:val="标题 5 字符"/>
    <w:basedOn w:val="19"/>
    <w:link w:val="7"/>
    <w:uiPriority w:val="9"/>
    <w:rPr>
      <w:b/>
      <w:bCs/>
      <w:kern w:val="2"/>
      <w:sz w:val="28"/>
      <w:szCs w:val="28"/>
    </w:rPr>
  </w:style>
  <w:style w:type="character" w:customStyle="1" w:styleId="44">
    <w:name w:val="标题 4 字符"/>
    <w:basedOn w:val="19"/>
    <w:link w:val="6"/>
    <w:qFormat/>
    <w:uiPriority w:val="9"/>
    <w:rPr>
      <w:rFonts w:asciiTheme="majorHAnsi" w:hAnsiTheme="majorHAnsi" w:eastAsiaTheme="majorEastAsia" w:cstheme="majorBidi"/>
      <w:b/>
      <w:bCs/>
      <w:kern w:val="2"/>
      <w:sz w:val="28"/>
      <w:szCs w:val="28"/>
    </w:rPr>
  </w:style>
  <w:style w:type="paragraph" w:customStyle="1" w:styleId="45">
    <w:name w:val="TOC Heading"/>
    <w:basedOn w:val="3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b w:val="0"/>
      <w:bCs w:val="0"/>
      <w:color w:val="376092" w:themeColor="accent1" w:themeShade="BF"/>
      <w:kern w:val="0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7.png"/><Relationship Id="rId8" Type="http://schemas.openxmlformats.org/officeDocument/2006/relationships/image" Target="media/image6.png"/><Relationship Id="rId7" Type="http://schemas.openxmlformats.org/officeDocument/2006/relationships/theme" Target="theme/theme1.xml"/><Relationship Id="rId6" Type="http://schemas.openxmlformats.org/officeDocument/2006/relationships/footer" Target="footer2.xml"/><Relationship Id="rId5" Type="http://schemas.openxmlformats.org/officeDocument/2006/relationships/header" Target="head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numbering" Target="numbering.xml"/><Relationship Id="rId13" Type="http://schemas.openxmlformats.org/officeDocument/2006/relationships/image" Target="media/image11.png"/><Relationship Id="rId12" Type="http://schemas.openxmlformats.org/officeDocument/2006/relationships/image" Target="media/image10.jpeg"/><Relationship Id="rId11" Type="http://schemas.openxmlformats.org/officeDocument/2006/relationships/image" Target="media/image9.png"/><Relationship Id="rId10" Type="http://schemas.openxmlformats.org/officeDocument/2006/relationships/image" Target="media/image8.pn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EF80060-F4E9-4DD0-AFA0-A2E37B7990DA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Sky123.Org</Company>
  <Pages>8</Pages>
  <Words>1990</Words>
  <Characters>2212</Characters>
  <Lines>19</Lines>
  <Paragraphs>5</Paragraphs>
  <TotalTime>0</TotalTime>
  <ScaleCrop>false</ScaleCrop>
  <LinksUpToDate>false</LinksUpToDate>
  <CharactersWithSpaces>2325</CharactersWithSpaces>
  <Application>WPS Office_11.1.0.12980_F1E327BC-269C-435d-A152-05C5408002CA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2022-11-15T03:05:00Z</dcterms:created>
  <dc:creator>Sky123.Org</dc:creator>
  <cp:lastModifiedBy>南瓜土豆</cp:lastModifiedBy>
  <cp:lastPrinted>2022-11-15T03:28:00Z</cp:lastPrinted>
  <dcterms:modified xsi:type="dcterms:W3CDTF">2022-12-20T08:26:16Z</dcterms:modified>
  <cp:revision>46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2052-11.1.0.12980</vt:lpwstr>
  </property>
  <property fmtid="{D5CDD505-2E9C-101B-9397-08002B2CF9AE}" pid="3" name="ICV">
    <vt:lpwstr>B56A9F9C4A8A4249A7086ABF7058B32B</vt:lpwstr>
  </property>
</Properties>
</file>