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60" w:lineRule="atLeast"/>
        <w:ind w:firstLine="2161" w:firstLineChars="300"/>
        <w:rPr>
          <w:rFonts w:hint="eastAsia" w:ascii="微软雅黑" w:hAnsi="微软雅黑" w:eastAsia="微软雅黑" w:cs="微软雅黑"/>
          <w:b/>
          <w:bCs/>
          <w:sz w:val="72"/>
          <w:szCs w:val="72"/>
        </w:rPr>
      </w:pPr>
      <w:bookmarkStart w:id="0" w:name="_Hlk120201462"/>
      <w:bookmarkEnd w:id="0"/>
      <w:bookmarkStart w:id="1" w:name="_Hlk34051380"/>
      <w:bookmarkStart w:id="2" w:name="_Hlk119427302"/>
    </w:p>
    <w:p>
      <w:pPr>
        <w:spacing w:line="260" w:lineRule="atLeast"/>
        <w:ind w:firstLine="2881" w:firstLineChars="400"/>
        <w:rPr>
          <w:rFonts w:hint="eastAsia" w:ascii="微软雅黑" w:hAnsi="微软雅黑" w:eastAsia="微软雅黑" w:cs="微软雅黑"/>
          <w:b/>
          <w:bCs/>
          <w:sz w:val="72"/>
          <w:szCs w:val="72"/>
        </w:rPr>
      </w:pPr>
      <w:r>
        <w:rPr>
          <w:rFonts w:hint="eastAsia" w:ascii="微软雅黑" w:hAnsi="微软雅黑" w:eastAsia="微软雅黑" w:cs="微软雅黑"/>
          <w:b/>
          <w:bCs/>
          <w:sz w:val="72"/>
          <w:szCs w:val="72"/>
        </w:rPr>
        <w:t>LED</w:t>
      </w:r>
      <w:r>
        <w:rPr>
          <w:rFonts w:hint="eastAsia" w:ascii="微软雅黑" w:hAnsi="微软雅黑" w:eastAsia="微软雅黑" w:cs="微软雅黑"/>
          <w:b/>
          <w:bCs/>
          <w:sz w:val="72"/>
          <w:szCs w:val="72"/>
          <w:lang w:val="en-US" w:eastAsia="zh-CN"/>
        </w:rPr>
        <w:t>室内</w:t>
      </w:r>
      <w:r>
        <w:rPr>
          <w:rFonts w:hint="eastAsia" w:ascii="微软雅黑" w:hAnsi="微软雅黑" w:eastAsia="微软雅黑" w:cs="微软雅黑"/>
          <w:b/>
          <w:bCs/>
          <w:sz w:val="72"/>
          <w:szCs w:val="72"/>
        </w:rPr>
        <w:t>全彩屏</w:t>
      </w:r>
    </w:p>
    <w:p>
      <w:pPr>
        <w:pStyle w:val="22"/>
      </w:pPr>
      <w:bookmarkStart w:id="16" w:name="_GoBack"/>
      <w:bookmarkEnd w:id="16"/>
    </w:p>
    <w:p>
      <w:pPr>
        <w:jc w:val="center"/>
      </w:pPr>
      <w:r>
        <w:rPr>
          <w:rFonts w:hint="eastAsia" w:ascii="微软雅黑" w:hAnsi="微软雅黑" w:eastAsia="微软雅黑"/>
          <w:color w:val="1E1916"/>
          <w:w w:val="110"/>
          <w:sz w:val="36"/>
          <w:szCs w:val="36"/>
        </w:rPr>
        <w:t>D</w:t>
      </w:r>
      <w:r>
        <w:rPr>
          <w:rFonts w:ascii="微软雅黑" w:hAnsi="微软雅黑" w:eastAsia="微软雅黑"/>
          <w:color w:val="1E1916"/>
          <w:w w:val="110"/>
          <w:sz w:val="36"/>
          <w:szCs w:val="36"/>
        </w:rPr>
        <w:t>Y-1.56</w:t>
      </w:r>
    </w:p>
    <w:p>
      <w:pPr>
        <w:spacing w:line="260" w:lineRule="atLeast"/>
        <w:ind w:firstLine="630" w:firstLineChars="300"/>
      </w:pPr>
    </w:p>
    <w:p>
      <w:pPr>
        <w:jc w:val="both"/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 xml:space="preserve">          用</w:t>
      </w:r>
    </w:p>
    <w:p>
      <w:pPr>
        <w:ind w:firstLine="4402" w:firstLineChars="500"/>
        <w:jc w:val="both"/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户</w:t>
      </w:r>
    </w:p>
    <w:p>
      <w:pPr>
        <w:ind w:firstLine="4402" w:firstLineChars="500"/>
        <w:jc w:val="both"/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手</w:t>
      </w:r>
    </w:p>
    <w:p>
      <w:pPr>
        <w:ind w:firstLine="4402" w:firstLineChars="500"/>
        <w:jc w:val="both"/>
        <w:rPr>
          <w:rFonts w:hint="eastAsia" w:ascii="微软雅黑" w:hAnsi="微软雅黑" w:eastAsia="微软雅黑" w:cs="微软雅黑"/>
          <w:sz w:val="36"/>
          <w:szCs w:val="36"/>
          <w:vertAlign w:val="subscript"/>
        </w:rPr>
      </w:pPr>
      <w:r>
        <w:rPr>
          <w:rFonts w:hint="eastAsia" w:ascii="微软雅黑" w:hAnsi="微软雅黑" w:eastAsia="微软雅黑" w:cs="微软雅黑"/>
          <w:b/>
          <w:bCs/>
          <w:sz w:val="88"/>
          <w:szCs w:val="88"/>
          <w:lang w:val="en-US" w:eastAsia="zh-CN"/>
        </w:rPr>
        <w:t>册</w:t>
      </w:r>
      <w:bookmarkEnd w:id="1"/>
    </w:p>
    <w:p>
      <w:pPr>
        <w:spacing w:line="360" w:lineRule="auto"/>
        <w:jc w:val="center"/>
        <w:rPr>
          <w:rFonts w:ascii="微软雅黑" w:hAnsi="微软雅黑" w:eastAsia="微软雅黑" w:cs="微软雅黑"/>
          <w:sz w:val="48"/>
          <w:vertAlign w:val="subscript"/>
        </w:rPr>
      </w:pPr>
      <w:r>
        <w:rPr>
          <w:rFonts w:hint="eastAsia" w:ascii="微软雅黑" w:hAnsi="微软雅黑" w:eastAsia="微软雅黑" w:cs="微软雅黑"/>
          <w:sz w:val="36"/>
          <w:szCs w:val="36"/>
          <w:vertAlign w:val="subscript"/>
        </w:rPr>
        <w:t>V</w:t>
      </w:r>
      <w:r>
        <w:rPr>
          <w:rFonts w:ascii="微软雅黑" w:hAnsi="微软雅黑" w:eastAsia="微软雅黑" w:cs="微软雅黑"/>
          <w:sz w:val="36"/>
          <w:szCs w:val="36"/>
          <w:vertAlign w:val="subscript"/>
        </w:rPr>
        <w:t>1.0</w:t>
      </w:r>
    </w:p>
    <w:p>
      <w:pPr>
        <w:pStyle w:val="22"/>
      </w:pPr>
    </w:p>
    <w:p>
      <w:pPr>
        <w:pStyle w:val="22"/>
      </w:pPr>
    </w:p>
    <w:p>
      <w:pPr>
        <w:tabs>
          <w:tab w:val="left" w:pos="2985"/>
          <w:tab w:val="center" w:pos="5201"/>
        </w:tabs>
        <w:spacing w:line="260" w:lineRule="atLeast"/>
        <w:ind w:firstLine="3000" w:firstLineChars="1000"/>
        <w:jc w:val="both"/>
        <w:rPr>
          <w:rFonts w:hint="eastAsia" w:ascii="微软雅黑" w:hAnsi="微软雅黑" w:eastAsia="微软雅黑" w:cs="微软雅黑"/>
          <w:sz w:val="30"/>
          <w:szCs w:val="30"/>
        </w:rPr>
      </w:pPr>
    </w:p>
    <w:p>
      <w:pPr>
        <w:tabs>
          <w:tab w:val="left" w:pos="2985"/>
          <w:tab w:val="center" w:pos="5201"/>
        </w:tabs>
        <w:spacing w:line="260" w:lineRule="atLeast"/>
        <w:ind w:firstLine="3000" w:firstLineChars="1000"/>
        <w:jc w:val="both"/>
        <w:rPr>
          <w:rFonts w:ascii="微软雅黑" w:hAnsi="微软雅黑" w:eastAsia="微软雅黑" w:cs="微软雅黑"/>
          <w:sz w:val="30"/>
          <w:szCs w:val="30"/>
        </w:rPr>
      </w:pPr>
      <w:r>
        <w:rPr>
          <w:rFonts w:hint="eastAsia" w:ascii="微软雅黑" w:hAnsi="微软雅黑" w:eastAsia="微软雅黑" w:cs="微软雅黑"/>
          <w:sz w:val="30"/>
          <w:szCs w:val="30"/>
        </w:rPr>
        <w:t>上海大因多媒体技术有限公司</w:t>
      </w:r>
    </w:p>
    <w:bookmarkEnd w:id="2"/>
    <w:p>
      <w:pPr>
        <w:spacing w:line="260" w:lineRule="atLeast"/>
        <w:ind w:firstLine="880" w:firstLineChars="200"/>
        <w:jc w:val="left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z w:val="44"/>
          <w:szCs w:val="44"/>
        </w:rPr>
        <w:t>安全须知</w:t>
      </w:r>
    </w:p>
    <w:p>
      <w:pPr>
        <w:spacing w:line="260" w:lineRule="atLeast"/>
        <w:ind w:firstLine="480" w:firstLineChars="200"/>
        <w:jc w:val="left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sz w:val="24"/>
          <w:szCs w:val="24"/>
        </w:rPr>
        <w:t>请先阅读所有说明，然后再尝试打开包装，安装或在连接电源之前，请操作本设备。打开包装并安装设备时，请记住以下几点：</w:t>
      </w:r>
    </w:p>
    <w:p>
      <w:pPr>
        <w:spacing w:line="260" w:lineRule="atLeast"/>
        <w:ind w:firstLine="480" w:firstLineChars="200"/>
        <w:jc w:val="left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</w:t>
      </w:r>
      <w:r>
        <w:rPr>
          <w:rFonts w:ascii="微软雅黑" w:hAnsi="微软雅黑" w:eastAsia="微软雅黑" w:cs="微软雅黑"/>
          <w:sz w:val="24"/>
          <w:szCs w:val="24"/>
        </w:rPr>
        <w:t>始终遵循基本的安全预防措施，以减少火灾风险，电击和人身伤害。</w:t>
      </w:r>
    </w:p>
    <w:p>
      <w:pPr>
        <w:spacing w:line="260" w:lineRule="atLeast"/>
        <w:ind w:firstLine="480" w:firstLineChars="200"/>
        <w:jc w:val="left"/>
        <w:rPr>
          <w:rFonts w:ascii="Arial" w:hAnsi="Arial" w:eastAsia="微软雅黑" w:cs="Arial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＊为避免起火或电击危险，请勿将本机淋雨，潮湿或将本产品安装在靠近水的地方。</w:t>
      </w:r>
    </w:p>
    <w:p>
      <w:pPr>
        <w:spacing w:line="260" w:lineRule="atLeast"/>
        <w:ind w:firstLine="480" w:firstLineChars="200"/>
        <w:jc w:val="left"/>
        <w:rPr>
          <w:rFonts w:ascii="Arial" w:hAnsi="Arial" w:eastAsia="微软雅黑" w:cs="Arial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＊切勿将任何液体溅到本产品之上或之中</w:t>
      </w:r>
      <w:r>
        <w:rPr>
          <w:rFonts w:hint="eastAsia" w:ascii="Arial" w:hAnsi="Arial" w:eastAsia="微软雅黑" w:cs="Arial"/>
          <w:sz w:val="24"/>
          <w:szCs w:val="24"/>
        </w:rPr>
        <w:t>。</w:t>
      </w:r>
    </w:p>
    <w:p>
      <w:pPr>
        <w:spacing w:line="260" w:lineRule="atLeast"/>
        <w:ind w:firstLine="480" w:firstLineChars="200"/>
        <w:jc w:val="left"/>
        <w:rPr>
          <w:rFonts w:ascii="Arial" w:hAnsi="Arial" w:eastAsia="微软雅黑" w:cs="Arial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＊切勿通过任何方式将任何物体塞入本产品设备上的开口或空槽，因为可能会损坏单元内部零件。</w:t>
      </w:r>
    </w:p>
    <w:p>
      <w:pPr>
        <w:spacing w:line="260" w:lineRule="atLeast"/>
        <w:ind w:firstLine="480" w:firstLineChars="200"/>
        <w:jc w:val="left"/>
        <w:rPr>
          <w:rFonts w:ascii="Arial" w:hAnsi="Arial" w:eastAsia="微软雅黑" w:cs="Arial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＊请勿将电源线连接到建筑物表面。</w:t>
      </w:r>
    </w:p>
    <w:p>
      <w:pPr>
        <w:spacing w:line="260" w:lineRule="atLeast"/>
        <w:ind w:firstLine="480" w:firstLineChars="200"/>
        <w:jc w:val="left"/>
        <w:rPr>
          <w:rFonts w:ascii="Arial" w:hAnsi="Arial" w:eastAsia="微软雅黑" w:cs="Arial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＊仅使用随附的电源设备。 如果电源已损坏请勿使用。</w:t>
      </w:r>
    </w:p>
    <w:p>
      <w:pPr>
        <w:spacing w:line="260" w:lineRule="atLeast"/>
        <w:ind w:firstLine="480" w:firstLineChars="200"/>
        <w:jc w:val="left"/>
        <w:rPr>
          <w:rFonts w:ascii="Arial" w:hAnsi="Arial" w:eastAsia="微软雅黑" w:cs="Arial"/>
          <w:sz w:val="24"/>
          <w:szCs w:val="24"/>
        </w:rPr>
      </w:pPr>
      <w:r>
        <w:rPr>
          <w:rFonts w:ascii="Arial" w:hAnsi="Arial" w:eastAsia="微软雅黑" w:cs="Arial"/>
          <w:sz w:val="24"/>
          <w:szCs w:val="24"/>
        </w:rPr>
        <w:t>＊请勿在电源线上放置任何物品在或放置</w:t>
      </w:r>
      <w:r>
        <w:rPr>
          <w:rFonts w:hint="eastAsia" w:ascii="Arial" w:hAnsi="Arial" w:eastAsia="微软雅黑" w:cs="Arial"/>
          <w:sz w:val="24"/>
          <w:szCs w:val="24"/>
        </w:rPr>
        <w:t>在</w:t>
      </w:r>
      <w:r>
        <w:rPr>
          <w:rFonts w:ascii="Arial" w:hAnsi="Arial" w:eastAsia="微软雅黑" w:cs="Arial"/>
          <w:sz w:val="24"/>
          <w:szCs w:val="24"/>
        </w:rPr>
        <w:t>人</w:t>
      </w:r>
      <w:r>
        <w:rPr>
          <w:rFonts w:hint="eastAsia" w:ascii="Arial" w:hAnsi="Arial" w:eastAsia="微软雅黑" w:cs="Arial"/>
          <w:sz w:val="24"/>
          <w:szCs w:val="24"/>
        </w:rPr>
        <w:t>行走的通道上</w:t>
      </w:r>
      <w:r>
        <w:rPr>
          <w:rFonts w:ascii="Arial" w:hAnsi="Arial" w:eastAsia="微软雅黑" w:cs="Arial"/>
          <w:sz w:val="24"/>
          <w:szCs w:val="24"/>
        </w:rPr>
        <w:t>。</w:t>
      </w:r>
    </w:p>
    <w:p>
      <w:pPr>
        <w:spacing w:line="260" w:lineRule="atLeast"/>
        <w:ind w:firstLine="480" w:firstLineChars="200"/>
        <w:jc w:val="left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Arial" w:hAnsi="Arial" w:eastAsia="微软雅黑" w:cs="Arial"/>
          <w:sz w:val="24"/>
          <w:szCs w:val="24"/>
        </w:rPr>
        <w:t>＊为防止设备过热，请勿</w:t>
      </w:r>
      <w:r>
        <w:rPr>
          <w:rFonts w:hint="eastAsia" w:ascii="Arial" w:hAnsi="Arial" w:eastAsia="微软雅黑" w:cs="Arial"/>
          <w:sz w:val="24"/>
          <w:szCs w:val="24"/>
        </w:rPr>
        <w:t>将所有设备堆叠在一起</w:t>
      </w:r>
      <w:r>
        <w:rPr>
          <w:rFonts w:ascii="Arial" w:hAnsi="Arial" w:eastAsia="微软雅黑" w:cs="Arial"/>
          <w:sz w:val="24"/>
          <w:szCs w:val="24"/>
        </w:rPr>
        <w:t>或提供通风并允许足够的空间使空气在设备周围流通。</w:t>
      </w:r>
    </w:p>
    <w:p>
      <w:pPr>
        <w:spacing w:line="260" w:lineRule="atLeast"/>
        <w:ind w:firstLine="960" w:firstLineChars="200"/>
        <w:jc w:val="center"/>
        <w:rPr>
          <w:rFonts w:ascii="微软雅黑" w:hAnsi="微软雅黑" w:eastAsia="微软雅黑" w:cs="微软雅黑"/>
          <w:sz w:val="48"/>
          <w:vertAlign w:val="subscript"/>
        </w:rPr>
      </w:pPr>
    </w:p>
    <w:p>
      <w:pPr>
        <w:widowControl/>
        <w:jc w:val="left"/>
        <w:rPr>
          <w:rFonts w:ascii="微软雅黑" w:hAnsi="微软雅黑" w:eastAsia="微软雅黑" w:cs="微软雅黑"/>
          <w:sz w:val="48"/>
          <w:vertAlign w:val="subscript"/>
        </w:rPr>
      </w:pPr>
      <w:r>
        <w:rPr>
          <w:rFonts w:ascii="微软雅黑" w:hAnsi="微软雅黑" w:eastAsia="微软雅黑" w:cs="微软雅黑"/>
          <w:sz w:val="48"/>
          <w:vertAlign w:val="subscript"/>
        </w:rPr>
        <w:br w:type="page"/>
      </w:r>
    </w:p>
    <w:p>
      <w:pPr>
        <w:pStyle w:val="22"/>
      </w:pPr>
      <w:bookmarkStart w:id="3" w:name="_Hlk119427775"/>
      <w:bookmarkStart w:id="4" w:name="_Hlk119428056"/>
    </w:p>
    <w:bookmarkEnd w:id="3"/>
    <w:p>
      <w:pPr>
        <w:pStyle w:val="22"/>
      </w:pPr>
    </w:p>
    <w:bookmarkEnd w:id="4"/>
    <w:sdt>
      <w:sdtPr>
        <w:rPr>
          <w:rFonts w:hint="eastAsia" w:ascii="微软雅黑" w:hAnsi="微软雅黑" w:eastAsia="微软雅黑" w:cs="微软雅黑"/>
          <w:kern w:val="2"/>
          <w:sz w:val="32"/>
          <w:szCs w:val="32"/>
          <w:lang w:val="en-US" w:eastAsia="zh-CN" w:bidi="ar-SA"/>
        </w:rPr>
        <w:id w:val="147466446"/>
        <w15:color w:val="DBDBDB"/>
        <w:docPartObj>
          <w:docPartGallery w:val="Table of Contents"/>
          <w:docPartUnique/>
        </w:docPartObj>
      </w:sdtPr>
      <w:sdtEndPr>
        <w:rPr>
          <w:rFonts w:hint="eastAsia" w:ascii="微软雅黑" w:hAnsi="微软雅黑" w:eastAsia="微软雅黑" w:cs="微软雅黑"/>
          <w:bCs/>
          <w:kern w:val="2"/>
          <w:sz w:val="21"/>
          <w:szCs w:val="32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hint="eastAsia" w:ascii="微软雅黑" w:hAnsi="微软雅黑" w:eastAsia="微软雅黑" w:cs="微软雅黑"/>
              <w:sz w:val="32"/>
              <w:szCs w:val="32"/>
            </w:rPr>
          </w:pPr>
          <w:r>
            <w:rPr>
              <w:rFonts w:hint="eastAsia" w:ascii="微软雅黑" w:hAnsi="微软雅黑" w:eastAsia="微软雅黑" w:cs="微软雅黑"/>
              <w:sz w:val="32"/>
              <w:szCs w:val="32"/>
            </w:rPr>
            <w:t>目录</w:t>
          </w:r>
        </w:p>
        <w:p>
          <w:pPr>
            <w:pStyle w:val="8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</w:rPr>
          </w:pPr>
          <w:r>
            <w:rPr>
              <w:rFonts w:ascii="微软雅黑" w:hAnsi="微软雅黑" w:eastAsia="微软雅黑" w:cs="微软雅黑"/>
              <w:b/>
              <w:bCs/>
              <w:sz w:val="32"/>
              <w:szCs w:val="32"/>
            </w:rPr>
            <w:fldChar w:fldCharType="begin"/>
          </w:r>
          <w:r>
            <w:rPr>
              <w:rFonts w:ascii="微软雅黑" w:hAnsi="微软雅黑" w:eastAsia="微软雅黑" w:cs="微软雅黑"/>
              <w:b/>
              <w:bCs/>
              <w:sz w:val="32"/>
              <w:szCs w:val="32"/>
            </w:rPr>
            <w:instrText xml:space="preserve">TOC \o "1-3" \h \u </w:instrText>
          </w:r>
          <w:r>
            <w:rPr>
              <w:rFonts w:ascii="微软雅黑" w:hAnsi="微软雅黑" w:eastAsia="微软雅黑" w:cs="微软雅黑"/>
              <w:b/>
              <w:bCs/>
              <w:sz w:val="32"/>
              <w:szCs w:val="32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begin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instrText xml:space="preserve"> HYPERLINK \l _Toc3726 </w:instrText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Cs w:val="36"/>
            </w:rPr>
            <w:t>一、 产品说明</w:t>
          </w:r>
          <w:r>
            <w:rPr>
              <w:rFonts w:hint="eastAsia" w:ascii="微软雅黑" w:hAnsi="微软雅黑" w:eastAsia="微软雅黑" w:cs="微软雅黑"/>
            </w:rPr>
            <w:tab/>
          </w:r>
          <w:r>
            <w:rPr>
              <w:rFonts w:hint="eastAsia" w:ascii="微软雅黑" w:hAnsi="微软雅黑" w:eastAsia="微软雅黑" w:cs="微软雅黑"/>
            </w:rPr>
            <w:fldChar w:fldCharType="begin"/>
          </w:r>
          <w:r>
            <w:rPr>
              <w:rFonts w:hint="eastAsia" w:ascii="微软雅黑" w:hAnsi="微软雅黑" w:eastAsia="微软雅黑" w:cs="微软雅黑"/>
            </w:rPr>
            <w:instrText xml:space="preserve"> PAGEREF _Toc3726 \h </w:instrText>
          </w:r>
          <w:r>
            <w:rPr>
              <w:rFonts w:hint="eastAsia" w:ascii="微软雅黑" w:hAnsi="微软雅黑" w:eastAsia="微软雅黑" w:cs="微软雅黑"/>
            </w:rPr>
            <w:fldChar w:fldCharType="separate"/>
          </w:r>
          <w:r>
            <w:rPr>
              <w:rFonts w:hint="eastAsia" w:ascii="微软雅黑" w:hAnsi="微软雅黑" w:eastAsia="微软雅黑" w:cs="微软雅黑"/>
            </w:rPr>
            <w:t>4</w:t>
          </w:r>
          <w:r>
            <w:rPr>
              <w:rFonts w:hint="eastAsia" w:ascii="微软雅黑" w:hAnsi="微软雅黑" w:eastAsia="微软雅黑" w:cs="微软雅黑"/>
            </w:rPr>
            <w:fldChar w:fldCharType="end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end"/>
          </w:r>
        </w:p>
        <w:p>
          <w:pPr>
            <w:pStyle w:val="8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</w:rPr>
          </w:pP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begin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instrText xml:space="preserve"> HYPERLINK \l _Toc16341 </w:instrText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Cs w:val="36"/>
            </w:rPr>
            <w:t>二、 技术规格表</w:t>
          </w:r>
          <w:r>
            <w:rPr>
              <w:rFonts w:hint="eastAsia" w:ascii="微软雅黑" w:hAnsi="微软雅黑" w:eastAsia="微软雅黑" w:cs="微软雅黑"/>
            </w:rPr>
            <w:tab/>
          </w:r>
          <w:r>
            <w:rPr>
              <w:rFonts w:hint="eastAsia" w:ascii="微软雅黑" w:hAnsi="微软雅黑" w:eastAsia="微软雅黑" w:cs="微软雅黑"/>
            </w:rPr>
            <w:fldChar w:fldCharType="begin"/>
          </w:r>
          <w:r>
            <w:rPr>
              <w:rFonts w:hint="eastAsia" w:ascii="微软雅黑" w:hAnsi="微软雅黑" w:eastAsia="微软雅黑" w:cs="微软雅黑"/>
            </w:rPr>
            <w:instrText xml:space="preserve"> PAGEREF _Toc16341 \h </w:instrText>
          </w:r>
          <w:r>
            <w:rPr>
              <w:rFonts w:hint="eastAsia" w:ascii="微软雅黑" w:hAnsi="微软雅黑" w:eastAsia="微软雅黑" w:cs="微软雅黑"/>
            </w:rPr>
            <w:fldChar w:fldCharType="separate"/>
          </w:r>
          <w:r>
            <w:rPr>
              <w:rFonts w:hint="eastAsia" w:ascii="微软雅黑" w:hAnsi="微软雅黑" w:eastAsia="微软雅黑" w:cs="微软雅黑"/>
            </w:rPr>
            <w:t>6</w:t>
          </w:r>
          <w:r>
            <w:rPr>
              <w:rFonts w:hint="eastAsia" w:ascii="微软雅黑" w:hAnsi="微软雅黑" w:eastAsia="微软雅黑" w:cs="微软雅黑"/>
            </w:rPr>
            <w:fldChar w:fldCharType="end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end"/>
          </w:r>
        </w:p>
        <w:p>
          <w:pPr>
            <w:pStyle w:val="8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</w:rPr>
          </w:pP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begin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instrText xml:space="preserve"> HYPERLINK \l _Toc27373 </w:instrText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Cs w:val="36"/>
            </w:rPr>
            <w:t>三、 箱体安装孔位图</w:t>
          </w:r>
          <w:r>
            <w:rPr>
              <w:rFonts w:hint="eastAsia" w:ascii="微软雅黑" w:hAnsi="微软雅黑" w:eastAsia="微软雅黑" w:cs="微软雅黑"/>
            </w:rPr>
            <w:tab/>
          </w:r>
          <w:r>
            <w:rPr>
              <w:rFonts w:hint="eastAsia" w:ascii="微软雅黑" w:hAnsi="微软雅黑" w:eastAsia="微软雅黑" w:cs="微软雅黑"/>
            </w:rPr>
            <w:fldChar w:fldCharType="begin"/>
          </w:r>
          <w:r>
            <w:rPr>
              <w:rFonts w:hint="eastAsia" w:ascii="微软雅黑" w:hAnsi="微软雅黑" w:eastAsia="微软雅黑" w:cs="微软雅黑"/>
            </w:rPr>
            <w:instrText xml:space="preserve"> PAGEREF _Toc27373 \h </w:instrText>
          </w:r>
          <w:r>
            <w:rPr>
              <w:rFonts w:hint="eastAsia" w:ascii="微软雅黑" w:hAnsi="微软雅黑" w:eastAsia="微软雅黑" w:cs="微软雅黑"/>
            </w:rPr>
            <w:fldChar w:fldCharType="separate"/>
          </w:r>
          <w:r>
            <w:rPr>
              <w:rFonts w:hint="eastAsia" w:ascii="微软雅黑" w:hAnsi="微软雅黑" w:eastAsia="微软雅黑" w:cs="微软雅黑"/>
            </w:rPr>
            <w:t>7</w:t>
          </w:r>
          <w:r>
            <w:rPr>
              <w:rFonts w:hint="eastAsia" w:ascii="微软雅黑" w:hAnsi="微软雅黑" w:eastAsia="微软雅黑" w:cs="微软雅黑"/>
            </w:rPr>
            <w:fldChar w:fldCharType="end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end"/>
          </w:r>
        </w:p>
        <w:p>
          <w:pPr>
            <w:pStyle w:val="8"/>
            <w:tabs>
              <w:tab w:val="right" w:leader="dot" w:pos="9922"/>
            </w:tabs>
            <w:rPr>
              <w:rFonts w:hint="eastAsia" w:ascii="微软雅黑" w:hAnsi="微软雅黑" w:eastAsia="微软雅黑" w:cs="微软雅黑"/>
            </w:rPr>
          </w:pP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begin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instrText xml:space="preserve"> HYPERLINK \l _Toc24463 </w:instrText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Cs w:val="36"/>
            </w:rPr>
            <w:t>四、 安装指导</w:t>
          </w:r>
          <w:r>
            <w:rPr>
              <w:rFonts w:hint="eastAsia" w:ascii="微软雅黑" w:hAnsi="微软雅黑" w:eastAsia="微软雅黑" w:cs="微软雅黑"/>
            </w:rPr>
            <w:tab/>
          </w:r>
          <w:r>
            <w:rPr>
              <w:rFonts w:hint="eastAsia" w:ascii="微软雅黑" w:hAnsi="微软雅黑" w:eastAsia="微软雅黑" w:cs="微软雅黑"/>
            </w:rPr>
            <w:fldChar w:fldCharType="begin"/>
          </w:r>
          <w:r>
            <w:rPr>
              <w:rFonts w:hint="eastAsia" w:ascii="微软雅黑" w:hAnsi="微软雅黑" w:eastAsia="微软雅黑" w:cs="微软雅黑"/>
            </w:rPr>
            <w:instrText xml:space="preserve"> PAGEREF _Toc24463 \h </w:instrText>
          </w:r>
          <w:r>
            <w:rPr>
              <w:rFonts w:hint="eastAsia" w:ascii="微软雅黑" w:hAnsi="微软雅黑" w:eastAsia="微软雅黑" w:cs="微软雅黑"/>
            </w:rPr>
            <w:fldChar w:fldCharType="separate"/>
          </w:r>
          <w:r>
            <w:rPr>
              <w:rFonts w:hint="eastAsia" w:ascii="微软雅黑" w:hAnsi="微软雅黑" w:eastAsia="微软雅黑" w:cs="微软雅黑"/>
            </w:rPr>
            <w:t>8</w:t>
          </w:r>
          <w:r>
            <w:rPr>
              <w:rFonts w:hint="eastAsia" w:ascii="微软雅黑" w:hAnsi="微软雅黑" w:eastAsia="微软雅黑" w:cs="微软雅黑"/>
            </w:rPr>
            <w:fldChar w:fldCharType="end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end"/>
          </w:r>
        </w:p>
        <w:p>
          <w:pPr>
            <w:pStyle w:val="8"/>
            <w:tabs>
              <w:tab w:val="right" w:leader="dot" w:pos="9922"/>
            </w:tabs>
          </w:pP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begin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instrText xml:space="preserve"> HYPERLINK \l _Toc18396 </w:instrText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szCs w:val="36"/>
              <w:highlight w:val="none"/>
            </w:rPr>
            <w:t>五、注</w:t>
          </w:r>
          <w:r>
            <w:rPr>
              <w:rFonts w:hint="eastAsia" w:ascii="微软雅黑" w:hAnsi="微软雅黑" w:eastAsia="微软雅黑" w:cs="微软雅黑"/>
              <w:szCs w:val="36"/>
            </w:rPr>
            <w:t>意事项</w:t>
          </w:r>
          <w:r>
            <w:rPr>
              <w:rFonts w:hint="eastAsia" w:ascii="微软雅黑" w:hAnsi="微软雅黑" w:eastAsia="微软雅黑" w:cs="微软雅黑"/>
            </w:rPr>
            <w:tab/>
          </w:r>
          <w:r>
            <w:rPr>
              <w:rFonts w:hint="eastAsia" w:ascii="微软雅黑" w:hAnsi="微软雅黑" w:eastAsia="微软雅黑" w:cs="微软雅黑"/>
            </w:rPr>
            <w:fldChar w:fldCharType="begin"/>
          </w:r>
          <w:r>
            <w:rPr>
              <w:rFonts w:hint="eastAsia" w:ascii="微软雅黑" w:hAnsi="微软雅黑" w:eastAsia="微软雅黑" w:cs="微软雅黑"/>
            </w:rPr>
            <w:instrText xml:space="preserve"> PAGEREF _Toc18396 \h </w:instrText>
          </w:r>
          <w:r>
            <w:rPr>
              <w:rFonts w:hint="eastAsia" w:ascii="微软雅黑" w:hAnsi="微软雅黑" w:eastAsia="微软雅黑" w:cs="微软雅黑"/>
            </w:rPr>
            <w:fldChar w:fldCharType="separate"/>
          </w:r>
          <w:r>
            <w:rPr>
              <w:rFonts w:hint="eastAsia" w:ascii="微软雅黑" w:hAnsi="微软雅黑" w:eastAsia="微软雅黑" w:cs="微软雅黑"/>
            </w:rPr>
            <w:t>8</w:t>
          </w:r>
          <w:r>
            <w:rPr>
              <w:rFonts w:hint="eastAsia" w:ascii="微软雅黑" w:hAnsi="微软雅黑" w:eastAsia="微软雅黑" w:cs="微软雅黑"/>
            </w:rPr>
            <w:fldChar w:fldCharType="end"/>
          </w:r>
          <w:r>
            <w:rPr>
              <w:rFonts w:hint="eastAsia" w:ascii="微软雅黑" w:hAnsi="微软雅黑" w:eastAsia="微软雅黑" w:cs="微软雅黑"/>
              <w:bCs/>
              <w:szCs w:val="32"/>
            </w:rPr>
            <w:fldChar w:fldCharType="end"/>
          </w:r>
        </w:p>
        <w:p>
          <w:pPr>
            <w:pStyle w:val="16"/>
            <w:ind w:left="720" w:firstLine="0" w:firstLineChars="0"/>
            <w:rPr>
              <w:rFonts w:ascii="微软雅黑" w:hAnsi="微软雅黑" w:eastAsia="微软雅黑" w:cs="微软雅黑"/>
              <w:b/>
              <w:bCs/>
              <w:sz w:val="32"/>
              <w:szCs w:val="32"/>
            </w:rPr>
          </w:pPr>
          <w:r>
            <w:rPr>
              <w:rFonts w:ascii="微软雅黑" w:hAnsi="微软雅黑" w:eastAsia="微软雅黑" w:cs="微软雅黑"/>
              <w:bCs/>
              <w:szCs w:val="32"/>
            </w:rPr>
            <w:fldChar w:fldCharType="end"/>
          </w:r>
        </w:p>
      </w:sdtContent>
    </w:sdt>
    <w:p>
      <w:pPr>
        <w:widowControl/>
        <w:jc w:val="left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ascii="微软雅黑" w:hAnsi="微软雅黑" w:eastAsia="微软雅黑" w:cs="微软雅黑"/>
          <w:b/>
          <w:bCs/>
          <w:sz w:val="32"/>
          <w:szCs w:val="32"/>
        </w:rPr>
        <w:br w:type="page"/>
      </w:r>
    </w:p>
    <w:p>
      <w:pPr>
        <w:pStyle w:val="16"/>
        <w:numPr>
          <w:ilvl w:val="0"/>
          <w:numId w:val="1"/>
        </w:numPr>
        <w:spacing w:before="312" w:beforeLines="100" w:after="312" w:afterLines="100" w:line="440" w:lineRule="exact"/>
        <w:ind w:firstLineChars="0"/>
        <w:outlineLvl w:val="0"/>
        <w:rPr>
          <w:rFonts w:ascii="微软雅黑" w:hAnsi="微软雅黑" w:eastAsia="微软雅黑" w:cs="微软雅黑"/>
          <w:b/>
          <w:bCs/>
          <w:sz w:val="36"/>
          <w:szCs w:val="36"/>
        </w:rPr>
      </w:pPr>
      <w:bookmarkStart w:id="5" w:name="_Toc3726"/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2931795</wp:posOffset>
            </wp:positionH>
            <wp:positionV relativeFrom="paragraph">
              <wp:posOffset>196215</wp:posOffset>
            </wp:positionV>
            <wp:extent cx="3571875" cy="2238375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86785" cy="2247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b/>
          <w:bCs/>
          <w:sz w:val="36"/>
          <w:szCs w:val="36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188595</wp:posOffset>
            </wp:positionH>
            <wp:positionV relativeFrom="paragraph">
              <wp:posOffset>329565</wp:posOffset>
            </wp:positionV>
            <wp:extent cx="2719070" cy="1952625"/>
            <wp:effectExtent l="0" t="0" r="5715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7338" cy="195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36"/>
          <w:szCs w:val="36"/>
        </w:rPr>
        <w:t>产品说明</w:t>
      </w:r>
      <w:bookmarkEnd w:id="5"/>
    </w:p>
    <w:p>
      <w:pPr>
        <w:pStyle w:val="16"/>
        <w:spacing w:before="312" w:beforeLines="100" w:after="312" w:afterLines="100" w:line="440" w:lineRule="exact"/>
        <w:ind w:left="720" w:firstLine="0" w:firstLineChars="0"/>
        <w:outlineLvl w:val="9"/>
        <w:rPr>
          <w:rFonts w:ascii="微软雅黑" w:hAnsi="微软雅黑" w:eastAsia="微软雅黑" w:cs="微软雅黑"/>
          <w:b/>
          <w:bCs/>
          <w:sz w:val="36"/>
          <w:szCs w:val="36"/>
        </w:rPr>
      </w:pPr>
    </w:p>
    <w:p>
      <w:pPr>
        <w:pStyle w:val="16"/>
        <w:ind w:left="720" w:firstLine="3360" w:firstLineChars="1400"/>
        <w:jc w:val="left"/>
        <w:rPr>
          <w:rFonts w:ascii="微软雅黑" w:hAnsi="微软雅黑" w:eastAsia="微软雅黑" w:cs="宋体"/>
          <w:sz w:val="24"/>
          <w:szCs w:val="24"/>
        </w:rPr>
      </w:pPr>
      <w:r>
        <w:rPr>
          <w:rFonts w:hint="eastAsia" w:ascii="微软雅黑" w:hAnsi="微软雅黑" w:eastAsia="微软雅黑" w:cs="宋体"/>
          <w:sz w:val="24"/>
          <w:szCs w:val="24"/>
        </w:rPr>
        <w:t xml:space="preserve"> </w:t>
      </w:r>
      <w:r>
        <w:rPr>
          <w:rFonts w:ascii="微软雅黑" w:hAnsi="微软雅黑" w:eastAsia="微软雅黑" w:cs="宋体"/>
          <w:sz w:val="24"/>
          <w:szCs w:val="24"/>
        </w:rPr>
        <w:t xml:space="preserve">          </w:t>
      </w:r>
    </w:p>
    <w:p>
      <w:pPr>
        <w:pStyle w:val="16"/>
        <w:ind w:left="720" w:firstLine="3360" w:firstLineChars="1400"/>
        <w:jc w:val="left"/>
        <w:rPr>
          <w:rFonts w:ascii="微软雅黑" w:hAnsi="微软雅黑" w:eastAsia="微软雅黑" w:cs="宋体"/>
          <w:sz w:val="24"/>
          <w:szCs w:val="24"/>
        </w:rPr>
      </w:pPr>
    </w:p>
    <w:p>
      <w:pPr>
        <w:pStyle w:val="16"/>
        <w:ind w:left="720" w:firstLine="3360" w:firstLineChars="1400"/>
        <w:jc w:val="left"/>
        <w:rPr>
          <w:rFonts w:ascii="微软雅黑" w:hAnsi="微软雅黑" w:eastAsia="微软雅黑" w:cs="宋体"/>
          <w:sz w:val="24"/>
          <w:szCs w:val="24"/>
        </w:rPr>
      </w:pPr>
    </w:p>
    <w:p>
      <w:pPr>
        <w:pStyle w:val="16"/>
        <w:ind w:left="720" w:firstLine="3360" w:firstLineChars="1400"/>
        <w:jc w:val="left"/>
        <w:rPr>
          <w:rFonts w:ascii="微软雅黑" w:hAnsi="微软雅黑" w:eastAsia="微软雅黑" w:cs="宋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产品轻薄设计箱体重量5.8kg、厚度5</w:t>
      </w:r>
      <w:r>
        <w:rPr>
          <w:rFonts w:ascii="微软雅黑" w:hAnsi="微软雅黑" w:eastAsia="微软雅黑" w:cs="微软雅黑"/>
          <w:sz w:val="24"/>
          <w:szCs w:val="24"/>
        </w:rPr>
        <w:t>1</w:t>
      </w:r>
      <w:r>
        <w:rPr>
          <w:rFonts w:hint="eastAsia" w:ascii="微软雅黑" w:hAnsi="微软雅黑" w:eastAsia="微软雅黑" w:cs="微软雅黑"/>
          <w:sz w:val="24"/>
          <w:szCs w:val="24"/>
        </w:rPr>
        <w:t>.</w:t>
      </w:r>
      <w:r>
        <w:rPr>
          <w:rFonts w:ascii="微软雅黑" w:hAnsi="微软雅黑" w:eastAsia="微软雅黑" w:cs="微软雅黑"/>
          <w:sz w:val="24"/>
          <w:szCs w:val="24"/>
        </w:rPr>
        <w:t>5</w:t>
      </w:r>
      <w:r>
        <w:rPr>
          <w:rFonts w:hint="eastAsia" w:ascii="微软雅黑" w:hAnsi="微软雅黑" w:eastAsia="微软雅黑" w:cs="微软雅黑"/>
          <w:sz w:val="24"/>
          <w:szCs w:val="24"/>
        </w:rPr>
        <w:t>mm；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屏体占用体积小，箱体重量轻，显示图像细腻逼真；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全前维护，支持热插拔，极速维修；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sz w:val="24"/>
          <w:szCs w:val="24"/>
        </w:rPr>
        <w:t>16:9标准显示比例设计，支持点对点；</w:t>
      </w:r>
    </w:p>
    <w:p>
      <w:pPr>
        <w:pStyle w:val="16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 w:firstLineChars="0"/>
        <w:textAlignment w:val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灯板储存校正系数，更换灯板后校正系数自带读；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每一个屏幕都将成为云拼接中的最基本处理单元，它们各自独立工作而又彼此关联，共同将海量信息呈现在用户眼前。大屏将不再仅是显示终端，而是拥有核心图像处理能力，聚合为一屏即为完整拼接系统，海量视频接收、信号源切换、信号实时显示、多画面漫游缩放等拼接系统必备功能都可在云屏中直接实现，云屏即为完整拼接系统。</w:t>
      </w:r>
    </w:p>
    <w:p>
      <w:pPr>
        <w:pStyle w:val="16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 w:firstLineChars="0"/>
        <w:textAlignment w:val="auto"/>
        <w:rPr>
          <w:rFonts w:ascii="微软雅黑" w:hAnsi="微软雅黑" w:eastAsia="微软雅黑" w:cs="宋体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信号连通网络无缝接入云屏，所有信号连接网络即可接入到云屏上，随时随地无缝接入。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  <w:lang w:bidi="en-US"/>
        </w:rPr>
      </w:pPr>
      <w:bookmarkStart w:id="6" w:name="_Toc16727"/>
      <w:r>
        <w:rPr>
          <w:rFonts w:hint="eastAsia" w:ascii="微软雅黑" w:hAnsi="微软雅黑" w:eastAsia="微软雅黑" w:cs="宋体"/>
          <w:sz w:val="24"/>
          <w:szCs w:val="24"/>
        </w:rPr>
        <w:t>所</w:t>
      </w: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有的信号都可轻而易举地拼接、控制和管理调度。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云端可视化管理，通过有线或无线网络接入控制终端，无论是PC或是Pad都可快速实现对云屏系统的管控。只需动动手指，即可轻松掌控全局。实时信号回看让用户时刻了解即时动态，可视化的交互模式提供用户更直观便捷的操作体验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LED云屏集传统LED大屏系统中的LED大屏、接收卡、发送卡、视频处理器、拼接器、矩阵等设备于一体，使屏不再仅仅是单一显示单元，而是整个显示系统中数据处理单元。云屏系统与其他分布式系统不同之处在于，是系统架构最简化，用最少的设备满足用户最高的需求。同时还提供更加丰富的应用与服务：海量 网络摄像机信号直接接入、网络音频矩阵、超高分辨率图形显示、三维超高分图形显示、任意信号源录播回放、无线桌面共享、主机远程接管（KVM）、手持式终端画面共享、外围设备控制、交互式图文共享与分发等等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hanging="42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具备以下优势：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1、大屏与生俱来的图像拼接功能，屏体本身具有分布式拼接系统，系统无需再配置任何拼接器和矩阵设备；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2、直接驱动显示面板，完全替代传统驱动板，简化屏体结构；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3、双千兆网口输入，链路冗余，规避网络风险；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4、不借助第三方解码服务器，拼接屏直接支持IP Camera的实时、海量接入，摄像机数量不受限制，单屏解码能力可达到同时输出16路1080P信号，总体解码能力随屏数增多而倍增；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5、内置协议库已支持国内市场主流品牌IP Camera，可定制支持特殊品牌及型号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6、除了通过网络接入信号，拼接屏还支持传统接入方式，可直接接入DVI\VGA\HDMI等信号，且信号不限于本屏显示，可在整屏范围内漫游、跨屏、缩放、层叠，无需购置输入节点设备，降低系统总体投资；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7、模块化设计，采用独立工作ARM+DSP架构，高性能高可靠性；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8、分布式计算架构，适用于任何规模的拼接系统，处理性能随规模同步增强；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9、TCP/IP传输，信号传输不受线缆长短及地理位置限制；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10、支持超高分辨率图像的实时处理与点对点显示；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11、预留RS-232接口，可根据需要扩展对外围设备控制功能；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12、具备音频输出接口，可将系统内任一输入节点音频解码输出，实现网络音频矩阵功能；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13、支持中控、iPad等第三方设备控制；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14、多组大屏可做到集中管理、信号源共享，同步镜像；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15、所有智能云拼接处理器节点可在线网络升级软件，及时提供客户最新功能；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  <w:lang w:bidi="en-US"/>
        </w:rPr>
      </w:pPr>
      <w:r>
        <w:rPr>
          <w:rFonts w:hint="eastAsia" w:ascii="微软雅黑" w:hAnsi="微软雅黑" w:eastAsia="微软雅黑" w:cs="微软雅黑"/>
          <w:sz w:val="24"/>
          <w:szCs w:val="24"/>
          <w:lang w:bidi="en-US"/>
        </w:rPr>
        <w:t>16、低功耗设计，节能环保，低碳运行</w:t>
      </w:r>
    </w:p>
    <w:p>
      <w:pPr>
        <w:spacing w:line="600" w:lineRule="auto"/>
        <w:rPr>
          <w:rFonts w:ascii="微软雅黑" w:hAnsi="微软雅黑" w:eastAsia="微软雅黑" w:cs="微软雅黑"/>
          <w:lang w:bidi="en-US"/>
        </w:rPr>
      </w:pPr>
    </w:p>
    <w:p>
      <w:pPr>
        <w:pStyle w:val="16"/>
        <w:numPr>
          <w:ilvl w:val="0"/>
          <w:numId w:val="1"/>
        </w:numPr>
        <w:spacing w:line="360" w:lineRule="auto"/>
        <w:ind w:firstLineChars="0"/>
        <w:outlineLvl w:val="0"/>
        <w:rPr>
          <w:rFonts w:ascii="微软雅黑" w:hAnsi="微软雅黑" w:eastAsia="微软雅黑" w:cs="宋体"/>
          <w:b/>
          <w:bCs/>
          <w:sz w:val="36"/>
          <w:szCs w:val="36"/>
        </w:rPr>
      </w:pPr>
      <w:bookmarkStart w:id="7" w:name="_Toc16341"/>
      <w:r>
        <w:rPr>
          <w:rFonts w:hint="eastAsia" w:ascii="微软雅黑" w:hAnsi="微软雅黑" w:eastAsia="微软雅黑" w:cs="宋体"/>
          <w:b/>
          <w:bCs/>
          <w:sz w:val="36"/>
          <w:szCs w:val="36"/>
        </w:rPr>
        <w:t>技术规格表</w:t>
      </w:r>
      <w:bookmarkEnd w:id="6"/>
      <w:bookmarkEnd w:id="7"/>
    </w:p>
    <w:tbl>
      <w:tblPr>
        <w:tblStyle w:val="11"/>
        <w:tblpPr w:leftFromText="180" w:rightFromText="180" w:vertAnchor="text" w:horzAnchor="margin" w:tblpXSpec="center" w:tblpY="643"/>
        <w:tblW w:w="95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4247"/>
        <w:gridCol w:w="44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5097" w:type="dxa"/>
            <w:gridSpan w:val="2"/>
            <w:shd w:val="clear" w:color="auto" w:fill="2E75B5" w:themeFill="accent1" w:themeFillShade="BF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规格名称</w:t>
            </w:r>
          </w:p>
        </w:tc>
        <w:tc>
          <w:tcPr>
            <w:tcW w:w="4482" w:type="dxa"/>
            <w:shd w:val="clear" w:color="auto" w:fill="2E75B5" w:themeFill="accent1" w:themeFillShade="BF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参数值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850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物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理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参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数</w:t>
            </w: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像素构成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Ansi="宋体"/>
                <w:bCs/>
                <w:sz w:val="20"/>
                <w:szCs w:val="20"/>
              </w:rPr>
              <w:t>SMD1212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像素间距（mm）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Ansi="宋体"/>
                <w:bCs/>
                <w:sz w:val="20"/>
                <w:szCs w:val="20"/>
              </w:rPr>
              <w:t>1.5625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模组分辨率(dots)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Ansi="宋体"/>
                <w:bCs/>
                <w:sz w:val="20"/>
                <w:szCs w:val="20"/>
              </w:rPr>
              <w:t>192</w:t>
            </w:r>
            <w:r>
              <w:rPr>
                <w:rFonts w:hint="eastAsia" w:hAnsi="宋体"/>
                <w:bCs/>
                <w:sz w:val="20"/>
                <w:szCs w:val="20"/>
              </w:rPr>
              <w:t>*1</w:t>
            </w:r>
            <w:r>
              <w:rPr>
                <w:rFonts w:hAnsi="宋体"/>
                <w:bCs/>
                <w:sz w:val="20"/>
                <w:szCs w:val="20"/>
              </w:rPr>
              <w:t>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箱体分辨率(dots)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Ansi="宋体"/>
                <w:bCs/>
                <w:sz w:val="20"/>
                <w:szCs w:val="20"/>
              </w:rPr>
              <w:t>384*216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模组尺寸（长*宽*高）/(mm)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Ansi="宋体"/>
                <w:bCs/>
                <w:sz w:val="20"/>
                <w:szCs w:val="20"/>
              </w:rPr>
              <w:t>300*168.75*20mm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箱体尺寸（长*宽*高）/(mm)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600*337.5*</w:t>
            </w:r>
            <w:r>
              <w:rPr>
                <w:rFonts w:hAnsi="宋体"/>
                <w:bCs/>
                <w:sz w:val="20"/>
                <w:szCs w:val="20"/>
              </w:rPr>
              <w:t>51.5</w:t>
            </w:r>
            <w:r>
              <w:rPr>
                <w:rFonts w:hint="eastAsia" w:hAnsi="宋体"/>
                <w:bCs/>
                <w:sz w:val="20"/>
                <w:szCs w:val="20"/>
              </w:rPr>
              <w:t>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箱体材质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压铸铝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箱体模组组成(W*H)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2*</w:t>
            </w:r>
            <w:r>
              <w:rPr>
                <w:rFonts w:hAnsi="宋体"/>
                <w:bCs/>
                <w:sz w:val="20"/>
                <w:szCs w:val="20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箱体重量(单箱/kg)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360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5.8kg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850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光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学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处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理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参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数</w:t>
            </w: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灰度等级(Bit)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1</w:t>
            </w:r>
            <w:r>
              <w:rPr>
                <w:rFonts w:hAnsi="宋体"/>
                <w:bCs/>
                <w:sz w:val="20"/>
                <w:szCs w:val="20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对比度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Ansi="宋体"/>
                <w:bCs/>
                <w:sz w:val="20"/>
                <w:szCs w:val="20"/>
              </w:rPr>
              <w:t>5</w:t>
            </w:r>
            <w:r>
              <w:rPr>
                <w:rFonts w:hint="eastAsia" w:hAnsi="宋体"/>
                <w:bCs/>
                <w:sz w:val="20"/>
                <w:szCs w:val="20"/>
              </w:rPr>
              <w:t>000：1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刷新频率（Hz）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3840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白平衡亮度（nit）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100-800(可调）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视角（H/V°）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160/140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850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电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气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参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数</w:t>
            </w: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交流输入电压（V）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sz w:val="20"/>
                <w:szCs w:val="20"/>
              </w:rPr>
              <w:t>输入电压：100-240V~50/60Hz;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交流输入功率最大值（W/m²）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5</w:t>
            </w:r>
            <w:r>
              <w:rPr>
                <w:rFonts w:hAnsi="宋体"/>
                <w:bCs/>
                <w:sz w:val="20"/>
                <w:szCs w:val="20"/>
              </w:rPr>
              <w:t>00W/m2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交流输入功率平均值（W/m²）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2</w:t>
            </w:r>
            <w:r>
              <w:rPr>
                <w:rFonts w:hAnsi="宋体"/>
                <w:bCs/>
                <w:sz w:val="20"/>
                <w:szCs w:val="20"/>
              </w:rPr>
              <w:t>50W/m2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使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用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环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境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参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数</w:t>
            </w: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储存温度（℃）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 xml:space="preserve">―10 - </w:t>
            </w:r>
            <w:r>
              <w:rPr>
                <w:rFonts w:hAnsi="宋体"/>
                <w:bCs/>
                <w:sz w:val="20"/>
                <w:szCs w:val="20"/>
              </w:rPr>
              <w:t>3</w:t>
            </w:r>
            <w:r>
              <w:rPr>
                <w:rFonts w:hint="eastAsia" w:hAnsi="宋体"/>
                <w:bCs/>
                <w:sz w:val="20"/>
                <w:szCs w:val="20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工作温度（℃）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―20 - 40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储存湿度（RH）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10%~</w:t>
            </w:r>
            <w:r>
              <w:rPr>
                <w:rFonts w:hAnsi="宋体"/>
                <w:bCs/>
                <w:sz w:val="20"/>
                <w:szCs w:val="20"/>
              </w:rPr>
              <w:t>60</w:t>
            </w:r>
            <w:r>
              <w:rPr>
                <w:rFonts w:hint="eastAsia" w:hAnsi="宋体"/>
                <w:bCs/>
                <w:sz w:val="20"/>
                <w:szCs w:val="20"/>
              </w:rPr>
              <w:t>% 无凝露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工作湿度（RH）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10%~</w:t>
            </w:r>
            <w:r>
              <w:rPr>
                <w:rFonts w:hAnsi="宋体"/>
                <w:bCs/>
                <w:sz w:val="20"/>
                <w:szCs w:val="20"/>
              </w:rPr>
              <w:t>65</w:t>
            </w:r>
            <w:r>
              <w:rPr>
                <w:rFonts w:hint="eastAsia" w:hAnsi="宋体"/>
                <w:bCs/>
                <w:sz w:val="20"/>
                <w:szCs w:val="20"/>
              </w:rPr>
              <w:t>% 无凝露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产品防护等级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IP</w:t>
            </w:r>
            <w:r>
              <w:rPr>
                <w:rFonts w:hAnsi="宋体"/>
                <w:bCs/>
                <w:sz w:val="20"/>
                <w:szCs w:val="20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LED灯典型寿命（hrs）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100000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850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箱体维护方式</w:t>
            </w:r>
          </w:p>
        </w:tc>
        <w:tc>
          <w:tcPr>
            <w:tcW w:w="4482" w:type="dxa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bCs/>
                <w:sz w:val="20"/>
                <w:szCs w:val="20"/>
              </w:rPr>
              <w:t>全前维护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9579" w:type="dxa"/>
            <w:gridSpan w:val="3"/>
            <w:vAlign w:val="center"/>
          </w:tcPr>
          <w:p>
            <w:pPr>
              <w:pStyle w:val="22"/>
              <w:spacing w:line="288" w:lineRule="auto"/>
              <w:ind w:firstLine="480"/>
              <w:jc w:val="center"/>
              <w:rPr>
                <w:rFonts w:hAnsi="宋体"/>
                <w:bCs/>
                <w:sz w:val="20"/>
                <w:szCs w:val="20"/>
              </w:rPr>
            </w:pPr>
            <w:r>
              <w:rPr>
                <w:rFonts w:hint="eastAsia" w:hAnsi="宋体"/>
                <w:color w:val="FF0000"/>
                <w:sz w:val="20"/>
                <w:szCs w:val="20"/>
              </w:rPr>
              <w:t>注：因配置差异参数有随之变化，以上仅供参考</w:t>
            </w:r>
          </w:p>
        </w:tc>
      </w:tr>
    </w:tbl>
    <w:p>
      <w:pPr>
        <w:pStyle w:val="2"/>
        <w:numPr>
          <w:ilvl w:val="0"/>
          <w:numId w:val="1"/>
        </w:numPr>
        <w:outlineLvl w:val="0"/>
        <w:rPr>
          <w:rFonts w:ascii="微软雅黑" w:hAnsi="微软雅黑" w:eastAsia="微软雅黑" w:cs="宋体"/>
          <w:sz w:val="36"/>
          <w:szCs w:val="36"/>
        </w:rPr>
      </w:pPr>
      <w:bookmarkStart w:id="8" w:name="_Toc27373"/>
      <w:bookmarkStart w:id="9" w:name="_Toc10438"/>
      <w:r>
        <w:rPr>
          <w:rFonts w:hint="eastAsia" w:ascii="微软雅黑" w:hAnsi="微软雅黑" w:eastAsia="微软雅黑" w:cs="宋体"/>
          <w:sz w:val="36"/>
          <w:szCs w:val="36"/>
        </w:rPr>
        <w:t>箱体安装孔位图</w:t>
      </w:r>
      <w:bookmarkEnd w:id="8"/>
      <w:bookmarkEnd w:id="9"/>
    </w:p>
    <w:p>
      <w:r>
        <w:drawing>
          <wp:inline distT="0" distB="0" distL="0" distR="0">
            <wp:extent cx="5272405" cy="3728720"/>
            <wp:effectExtent l="0" t="0" r="4445" b="508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6868" cy="3732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210" w:firstLineChars="100"/>
        <w:rPr>
          <w:rFonts w:ascii="微软雅黑" w:hAnsi="微软雅黑" w:eastAsia="微软雅黑" w:cs="Arial"/>
          <w:szCs w:val="21"/>
        </w:rPr>
      </w:pPr>
      <w:r>
        <w:rPr>
          <w:rFonts w:hint="eastAsia" w:ascii="微软雅黑" w:hAnsi="微软雅黑" w:eastAsia="微软雅黑" w:cs="Arial"/>
          <w:szCs w:val="21"/>
        </w:rPr>
        <w:t xml:space="preserve">锁连接片螺丝：M8*20      </w:t>
      </w:r>
    </w:p>
    <w:p>
      <w:pPr>
        <w:spacing w:after="60"/>
        <w:ind w:left="420" w:leftChars="200" w:firstLine="2730" w:firstLineChars="130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 w:cs="Arial"/>
          <w:szCs w:val="21"/>
        </w:rPr>
        <w:t>备注：</w:t>
      </w:r>
      <w:r>
        <w:rPr>
          <w:rFonts w:hint="eastAsia" w:ascii="微软雅黑" w:hAnsi="微软雅黑" w:eastAsia="微软雅黑" w:cs="Arial"/>
          <w:b/>
          <w:szCs w:val="21"/>
        </w:rPr>
        <w:t xml:space="preserve"> </w:t>
      </w:r>
      <w:r>
        <w:rPr>
          <w:rFonts w:ascii="微软雅黑" w:hAnsi="微软雅黑" w:eastAsia="微软雅黑" w:cs="Arial"/>
          <w:szCs w:val="21"/>
        </w:rPr>
        <w:t>所有尺寸的单位为mm</w:t>
      </w:r>
    </w:p>
    <w:p>
      <w:pPr>
        <w:pStyle w:val="2"/>
        <w:numPr>
          <w:ilvl w:val="0"/>
          <w:numId w:val="3"/>
        </w:numPr>
        <w:outlineLvl w:val="0"/>
        <w:rPr>
          <w:rFonts w:ascii="微软雅黑" w:hAnsi="微软雅黑" w:eastAsia="微软雅黑" w:cs="宋体"/>
          <w:sz w:val="36"/>
          <w:szCs w:val="36"/>
        </w:rPr>
      </w:pPr>
      <w:bookmarkStart w:id="10" w:name="_Toc24463"/>
      <w:bookmarkStart w:id="11" w:name="_Hlk119399312"/>
      <w:r>
        <w:rPr>
          <w:rFonts w:hint="eastAsia" w:ascii="微软雅黑" w:hAnsi="微软雅黑" w:eastAsia="微软雅黑" w:cs="宋体"/>
          <w:sz w:val="36"/>
          <w:szCs w:val="36"/>
        </w:rPr>
        <w:t>安装指导</w:t>
      </w:r>
      <w:bookmarkEnd w:id="10"/>
    </w:p>
    <w:p>
      <w:pPr>
        <w:spacing w:after="6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 w:cs="Arial"/>
          <w:szCs w:val="21"/>
        </w:rPr>
        <w:t>箱体安装示意图(此图仅供参考，具体接线方式参考实物)：</w:t>
      </w:r>
    </w:p>
    <w:p>
      <w:pPr>
        <w:spacing w:after="60"/>
        <w:rPr>
          <w:sz w:val="24"/>
          <w:szCs w:val="24"/>
        </w:rPr>
      </w:pPr>
      <w:r>
        <w:drawing>
          <wp:inline distT="0" distB="0" distL="0" distR="0">
            <wp:extent cx="6061710" cy="253809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83162" cy="2547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箱体拼装示意图</w:t>
      </w:r>
    </w:p>
    <w:p>
      <w:pPr>
        <w:pStyle w:val="2"/>
        <w:outlineLvl w:val="0"/>
        <w:rPr>
          <w:rFonts w:ascii="微软雅黑" w:hAnsi="微软雅黑" w:eastAsia="微软雅黑" w:cs="宋体"/>
          <w:sz w:val="36"/>
          <w:szCs w:val="36"/>
        </w:rPr>
      </w:pPr>
      <w:bookmarkStart w:id="12" w:name="_Toc20790"/>
      <w:bookmarkStart w:id="13" w:name="_Toc18396"/>
      <w:r>
        <w:rPr>
          <w:rFonts w:hint="eastAsia" w:ascii="微软雅黑" w:hAnsi="微软雅黑" w:eastAsia="微软雅黑" w:cs="宋体"/>
          <w:sz w:val="36"/>
          <w:szCs w:val="36"/>
          <w:highlight w:val="none"/>
        </w:rPr>
        <w:t>五、</w:t>
      </w:r>
      <w:r>
        <w:rPr>
          <w:rFonts w:hint="eastAsia" w:ascii="微软雅黑" w:hAnsi="微软雅黑" w:eastAsia="微软雅黑" w:cs="宋体"/>
          <w:sz w:val="36"/>
          <w:szCs w:val="36"/>
        </w:rPr>
        <w:t>注意事项</w:t>
      </w:r>
      <w:bookmarkEnd w:id="12"/>
      <w:bookmarkEnd w:id="13"/>
    </w:p>
    <w:p>
      <w:pPr>
        <w:keepNext w:val="0"/>
        <w:keepLines w:val="0"/>
        <w:pageBreakBefore w:val="0"/>
        <w:widowControl w:val="0"/>
        <w:tabs>
          <w:tab w:val="right" w:pos="873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50"/>
        <w:textAlignment w:val="auto"/>
        <w:rPr>
          <w:rFonts w:ascii="微软雅黑" w:hAnsi="微软雅黑" w:eastAsia="微软雅黑" w:cs="宋体"/>
          <w:sz w:val="24"/>
          <w:szCs w:val="24"/>
        </w:rPr>
      </w:pPr>
      <w:r>
        <w:rPr>
          <w:rFonts w:hint="eastAsia" w:ascii="微软雅黑" w:hAnsi="微软雅黑" w:eastAsia="微软雅黑" w:cs="宋体"/>
          <w:sz w:val="24"/>
          <w:szCs w:val="24"/>
        </w:rPr>
        <w:t>为了使客户和使用者能更好的使用大因科技的产品，提供一份清晰易理解的资料供参考。一般而言，LED使用的方法可与其他的电子产品相同。但使用大因科技的LED产品时，请遵循以下防范措施来保护好产品：</w:t>
      </w:r>
    </w:p>
    <w:p>
      <w:pPr>
        <w:pStyle w:val="16"/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ascii="微软雅黑" w:hAnsi="微软雅黑" w:eastAsia="微软雅黑" w:cs="宋体"/>
          <w:sz w:val="24"/>
          <w:szCs w:val="24"/>
        </w:rPr>
      </w:pPr>
      <w:r>
        <w:rPr>
          <w:rFonts w:hint="eastAsia" w:ascii="微软雅黑" w:hAnsi="微软雅黑" w:eastAsia="微软雅黑" w:cs="宋体"/>
          <w:sz w:val="24"/>
          <w:szCs w:val="24"/>
        </w:rPr>
        <w:t>清洁：由现场环境影响需要清洁模组表面，请使用可以采用软毛刷，轻轻刷拭。禁止使用任何液体物质清洗 LED 模组表面，否则可能损坏 SMD-LED。</w:t>
      </w:r>
    </w:p>
    <w:p>
      <w:pPr>
        <w:pStyle w:val="16"/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ascii="微软雅黑" w:hAnsi="微软雅黑" w:eastAsia="微软雅黑" w:cs="宋体"/>
          <w:sz w:val="24"/>
          <w:szCs w:val="24"/>
        </w:rPr>
      </w:pPr>
      <w:r>
        <w:rPr>
          <w:rFonts w:hint="eastAsia" w:ascii="微软雅黑" w:hAnsi="微软雅黑" w:eastAsia="微软雅黑" w:cs="宋体"/>
          <w:sz w:val="24"/>
          <w:szCs w:val="24"/>
        </w:rPr>
        <w:t>防潮及存储： SMDLED 产品须存放在温度&lt;30℃和湿度&lt;60%环境中。如果屏体超过3天未使用，每次点亮屏体时需采用预热点亮方式，30%-50%的亮度先预热4至8小时，再调整为正常亮度（80%-100%）点亮屏体，从而将湿气排除，以便在使用时无异常;屏体超过7天未使用，每次点亮屏体时需采用预热点亮方式</w:t>
      </w:r>
      <w:r>
        <w:rPr>
          <w:rFonts w:hint="eastAsia" w:ascii="微软雅黑" w:hAnsi="微软雅黑" w:eastAsia="微软雅黑" w:cstheme="minorEastAsia"/>
          <w:sz w:val="24"/>
          <w:szCs w:val="24"/>
        </w:rPr>
        <w:t>30%-50%的亮度先预热 2-12 小时以上，再调整为正常亮度（80%-100%）点亮屏体，从而将湿气排除，以便在使用时无异常</w:t>
      </w:r>
      <w:bookmarkEnd w:id="11"/>
    </w:p>
    <w:sectPr>
      <w:headerReference r:id="rId3" w:type="default"/>
      <w:footerReference r:id="rId4" w:type="default"/>
      <w:pgSz w:w="11906" w:h="16838"/>
      <w:pgMar w:top="1440" w:right="991" w:bottom="1440" w:left="993" w:header="454" w:footer="90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imes new Roam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5664200</wp:posOffset>
          </wp:positionH>
          <wp:positionV relativeFrom="paragraph">
            <wp:posOffset>105410</wp:posOffset>
          </wp:positionV>
          <wp:extent cx="635000" cy="634365"/>
          <wp:effectExtent l="0" t="0" r="3175" b="3810"/>
          <wp:wrapSquare wrapText="bothSides"/>
          <wp:docPr id="15" name="图片 15" descr="C:\Users\PumpkinPotato\Desktop\微信公众号.png微信公众号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图片 15" descr="C:\Users\PumpkinPotato\Desktop\微信公众号.png微信公众号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500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tab w:relativeTo="margin" w:alignment="left" w:leader="none"/>
    </w:r>
    <w:r>
      <w:rPr>
        <w:rFonts w:hint="eastAsia"/>
      </w:rPr>
      <w:drawing>
        <wp:inline distT="0" distB="0" distL="114300" distR="114300">
          <wp:extent cx="3731260" cy="695325"/>
          <wp:effectExtent l="0" t="0" r="2540" b="0"/>
          <wp:docPr id="30" name="图片 30" descr="页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图片 30" descr="页脚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731260" cy="695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  </w:t>
    </w:r>
  </w:p>
  <w:p>
    <w:pPr>
      <w:pStyle w:val="6"/>
    </w:pPr>
    <w:r>
      <w:t xml:space="preserve">                                 </w:t>
    </w:r>
    <w:r>
      <w:rPr>
        <w:rFonts w:hint="eastAsia"/>
        <w:lang w:val="en-US" w:eastAsia="zh-CN"/>
      </w:rPr>
      <w:t xml:space="preserve">      </w:t>
    </w:r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</w:rPr>
      <w:t>页码：第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begin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instrText xml:space="preserve">PAGE  \* Arabic  \* MERGEFORMAT</w:instrTex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separate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1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end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页</w:t>
    </w:r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  <w:lang w:val="zh-CN"/>
      </w:rPr>
      <w:t xml:space="preserve"> /共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begin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instrText xml:space="preserve">NUMPAGES  \* Arabic  \* MERGEFORMAT</w:instrTex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separate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9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fldChar w:fldCharType="end"/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>页</w:t>
    </w:r>
    <w:r>
      <w:rPr>
        <w:rFonts w:hint="eastAsia"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 xml:space="preserve"> </w:t>
    </w:r>
    <w:r>
      <w:rPr>
        <w:rFonts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</w:rPr>
      <w:t xml:space="preserve">          </w:t>
    </w:r>
    <w:r>
      <w:rPr>
        <w:rFonts w:hint="eastAsia" w:ascii="Times New Roman" w:hAnsi="Times New Roman" w:eastAsia="宋体" w:cs="Times New Roman"/>
        <w:b/>
        <w:bCs/>
        <w:color w:val="171A1D"/>
        <w:sz w:val="20"/>
        <w:szCs w:val="20"/>
        <w:shd w:val="clear" w:color="auto" w:fill="FFFFFF"/>
        <w:lang w:val="en-US" w:eastAsia="zh-CN"/>
      </w:rPr>
      <w:t xml:space="preserve"> </w:t>
    </w:r>
    <w:bookmarkStart w:id="14" w:name="_Hlk119427522"/>
    <w:bookmarkStart w:id="15" w:name="_Hlk119427685"/>
    <w:r>
      <w:rPr>
        <w:rFonts w:ascii="Times New Roman" w:hAnsi="Times New Roman" w:eastAsia="宋体" w:cs="Times New Roman"/>
        <w:color w:val="171A1D"/>
        <w:sz w:val="20"/>
        <w:szCs w:val="20"/>
        <w:shd w:val="clear" w:color="auto" w:fill="FFFFFF"/>
      </w:rPr>
      <w:t>表单号：BD-CPCTY-0001 A0</w:t>
    </w:r>
    <w:bookmarkEnd w:id="14"/>
    <w:bookmarkEnd w:id="15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both"/>
    </w:pPr>
    <w:r>
      <w:drawing>
        <wp:inline distT="0" distB="0" distL="0" distR="0">
          <wp:extent cx="2462530" cy="723900"/>
          <wp:effectExtent l="0" t="0" r="0" b="0"/>
          <wp:docPr id="6" name="图片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6253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</w:t>
    </w:r>
    <w:r>
      <w:rPr>
        <w:rFonts w:hint="eastAsia"/>
      </w:rPr>
      <w:drawing>
        <wp:inline distT="0" distB="0" distL="114300" distR="114300">
          <wp:extent cx="2376805" cy="826135"/>
          <wp:effectExtent l="0" t="0" r="4445" b="2540"/>
          <wp:docPr id="28" name="图片 28" descr="页眉右边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图片 28" descr="页眉右边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376805" cy="8261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</w:t>
    </w:r>
    <w:r>
      <w:rPr>
        <w:rFonts w:hint="eastAsia"/>
      </w:rPr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B8E2A3"/>
    <w:multiLevelType w:val="singleLevel"/>
    <w:tmpl w:val="04B8E2A3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119406EC"/>
    <w:multiLevelType w:val="multilevel"/>
    <w:tmpl w:val="119406EC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9705DD6"/>
    <w:multiLevelType w:val="multilevel"/>
    <w:tmpl w:val="29705DD6"/>
    <w:lvl w:ilvl="0" w:tentative="0">
      <w:start w:val="4"/>
      <w:numFmt w:val="japaneseCounting"/>
      <w:lvlText w:val="%1、"/>
      <w:lvlJc w:val="left"/>
      <w:pPr>
        <w:ind w:left="720" w:hanging="720"/>
      </w:pPr>
      <w:rPr>
        <w:rFonts w:hint="default" w:ascii="微软雅黑" w:hAnsi="微软雅黑" w:eastAsia="微软雅黑" w:cstheme="majorBidi"/>
        <w:sz w:val="36"/>
        <w:szCs w:val="36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B85A2F1"/>
    <w:multiLevelType w:val="singleLevel"/>
    <w:tmpl w:val="5B85A2F1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  <w:sz w:val="21"/>
        <w:szCs w:val="21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M2NDY4NDdlNzRkMWM2MjI0MmUwZDhlMTI5NTg1YWEifQ=="/>
  </w:docVars>
  <w:rsids>
    <w:rsidRoot w:val="00510B1A"/>
    <w:rsid w:val="000006FC"/>
    <w:rsid w:val="0000308C"/>
    <w:rsid w:val="00013364"/>
    <w:rsid w:val="00075DAE"/>
    <w:rsid w:val="000C0EC1"/>
    <w:rsid w:val="000C7722"/>
    <w:rsid w:val="000D3BF6"/>
    <w:rsid w:val="000D550B"/>
    <w:rsid w:val="000E5F06"/>
    <w:rsid w:val="000F4497"/>
    <w:rsid w:val="0013136B"/>
    <w:rsid w:val="00140EA7"/>
    <w:rsid w:val="001440AD"/>
    <w:rsid w:val="0014526A"/>
    <w:rsid w:val="00146373"/>
    <w:rsid w:val="0015323D"/>
    <w:rsid w:val="00160999"/>
    <w:rsid w:val="00170E57"/>
    <w:rsid w:val="001A0FB8"/>
    <w:rsid w:val="001A187B"/>
    <w:rsid w:val="001E1854"/>
    <w:rsid w:val="001E7B6E"/>
    <w:rsid w:val="001F4E37"/>
    <w:rsid w:val="002327A7"/>
    <w:rsid w:val="002812B3"/>
    <w:rsid w:val="002F22DF"/>
    <w:rsid w:val="00300BE9"/>
    <w:rsid w:val="00306B56"/>
    <w:rsid w:val="00364D2D"/>
    <w:rsid w:val="00365952"/>
    <w:rsid w:val="00373C7E"/>
    <w:rsid w:val="003A457F"/>
    <w:rsid w:val="004046C8"/>
    <w:rsid w:val="00415BC3"/>
    <w:rsid w:val="0042169F"/>
    <w:rsid w:val="00446D0B"/>
    <w:rsid w:val="004577BB"/>
    <w:rsid w:val="00466763"/>
    <w:rsid w:val="00495C6F"/>
    <w:rsid w:val="004A3E0B"/>
    <w:rsid w:val="004A6C4E"/>
    <w:rsid w:val="004D2CAC"/>
    <w:rsid w:val="004D730E"/>
    <w:rsid w:val="00506558"/>
    <w:rsid w:val="00506A65"/>
    <w:rsid w:val="00510B1A"/>
    <w:rsid w:val="00514143"/>
    <w:rsid w:val="00515C2F"/>
    <w:rsid w:val="00516E8C"/>
    <w:rsid w:val="00535243"/>
    <w:rsid w:val="00571F0E"/>
    <w:rsid w:val="005741A8"/>
    <w:rsid w:val="005744F6"/>
    <w:rsid w:val="00577D65"/>
    <w:rsid w:val="005922C1"/>
    <w:rsid w:val="00595023"/>
    <w:rsid w:val="005A5100"/>
    <w:rsid w:val="005B5DE2"/>
    <w:rsid w:val="005C67A8"/>
    <w:rsid w:val="005C6E74"/>
    <w:rsid w:val="005E0F63"/>
    <w:rsid w:val="00603FF3"/>
    <w:rsid w:val="00607108"/>
    <w:rsid w:val="0067017E"/>
    <w:rsid w:val="00696BF0"/>
    <w:rsid w:val="006A4F2F"/>
    <w:rsid w:val="006A5E17"/>
    <w:rsid w:val="006F69AF"/>
    <w:rsid w:val="007028EB"/>
    <w:rsid w:val="007256C2"/>
    <w:rsid w:val="0073403B"/>
    <w:rsid w:val="0074361F"/>
    <w:rsid w:val="00746070"/>
    <w:rsid w:val="00762CD8"/>
    <w:rsid w:val="007647FF"/>
    <w:rsid w:val="00765208"/>
    <w:rsid w:val="00792DE3"/>
    <w:rsid w:val="00793CB3"/>
    <w:rsid w:val="007B5BDD"/>
    <w:rsid w:val="007B68E3"/>
    <w:rsid w:val="007C52C5"/>
    <w:rsid w:val="007F19FE"/>
    <w:rsid w:val="0083189F"/>
    <w:rsid w:val="008444D1"/>
    <w:rsid w:val="008874F6"/>
    <w:rsid w:val="008B47F8"/>
    <w:rsid w:val="008C5762"/>
    <w:rsid w:val="008D1EC7"/>
    <w:rsid w:val="008F4D59"/>
    <w:rsid w:val="008F6109"/>
    <w:rsid w:val="00952D23"/>
    <w:rsid w:val="00961CED"/>
    <w:rsid w:val="00962277"/>
    <w:rsid w:val="00967E05"/>
    <w:rsid w:val="009B69CC"/>
    <w:rsid w:val="009C2497"/>
    <w:rsid w:val="009D1508"/>
    <w:rsid w:val="009E02BE"/>
    <w:rsid w:val="009E0757"/>
    <w:rsid w:val="009E2EBA"/>
    <w:rsid w:val="00A02230"/>
    <w:rsid w:val="00A11ED9"/>
    <w:rsid w:val="00A14938"/>
    <w:rsid w:val="00A35BBF"/>
    <w:rsid w:val="00A73B1C"/>
    <w:rsid w:val="00A91446"/>
    <w:rsid w:val="00A91DE9"/>
    <w:rsid w:val="00B12D05"/>
    <w:rsid w:val="00B52A20"/>
    <w:rsid w:val="00B54E36"/>
    <w:rsid w:val="00B61C9E"/>
    <w:rsid w:val="00B62FA4"/>
    <w:rsid w:val="00B977EE"/>
    <w:rsid w:val="00BA15AE"/>
    <w:rsid w:val="00BB069B"/>
    <w:rsid w:val="00BC368A"/>
    <w:rsid w:val="00BF628F"/>
    <w:rsid w:val="00BF67CF"/>
    <w:rsid w:val="00C146D9"/>
    <w:rsid w:val="00C231E9"/>
    <w:rsid w:val="00C42D64"/>
    <w:rsid w:val="00C74126"/>
    <w:rsid w:val="00C75668"/>
    <w:rsid w:val="00C94536"/>
    <w:rsid w:val="00CC235D"/>
    <w:rsid w:val="00CC2F9B"/>
    <w:rsid w:val="00CC40EF"/>
    <w:rsid w:val="00CD1FBB"/>
    <w:rsid w:val="00CE71E7"/>
    <w:rsid w:val="00CF4178"/>
    <w:rsid w:val="00D04BEA"/>
    <w:rsid w:val="00D15580"/>
    <w:rsid w:val="00D83937"/>
    <w:rsid w:val="00DA5D21"/>
    <w:rsid w:val="00DB1B09"/>
    <w:rsid w:val="00DE360B"/>
    <w:rsid w:val="00DF33AD"/>
    <w:rsid w:val="00E109D3"/>
    <w:rsid w:val="00E3245F"/>
    <w:rsid w:val="00E34A37"/>
    <w:rsid w:val="00E34B44"/>
    <w:rsid w:val="00E53D17"/>
    <w:rsid w:val="00E675C2"/>
    <w:rsid w:val="00E96F7B"/>
    <w:rsid w:val="00EA5CEC"/>
    <w:rsid w:val="00EA7A20"/>
    <w:rsid w:val="00EC4087"/>
    <w:rsid w:val="00EC5CF4"/>
    <w:rsid w:val="00ED0442"/>
    <w:rsid w:val="00F10D1C"/>
    <w:rsid w:val="00F140F3"/>
    <w:rsid w:val="00F3419C"/>
    <w:rsid w:val="00F84058"/>
    <w:rsid w:val="00FA1F6D"/>
    <w:rsid w:val="00FB5551"/>
    <w:rsid w:val="00FD346C"/>
    <w:rsid w:val="00FE7D05"/>
    <w:rsid w:val="073B5AD3"/>
    <w:rsid w:val="0EF613B8"/>
    <w:rsid w:val="138B0813"/>
    <w:rsid w:val="1392423B"/>
    <w:rsid w:val="1EA6525E"/>
    <w:rsid w:val="395A33C1"/>
    <w:rsid w:val="44E35409"/>
    <w:rsid w:val="4DA20920"/>
    <w:rsid w:val="5FD61D39"/>
    <w:rsid w:val="63F93B47"/>
    <w:rsid w:val="64B65DA4"/>
    <w:rsid w:val="68B97B61"/>
    <w:rsid w:val="76E733B3"/>
    <w:rsid w:val="7E13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7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18"/>
    <w:semiHidden/>
    <w:unhideWhenUsed/>
    <w:qFormat/>
    <w:uiPriority w:val="0"/>
    <w:pPr>
      <w:keepNext/>
      <w:keepLines/>
      <w:snapToGrid w:val="0"/>
      <w:spacing w:before="240" w:after="240"/>
      <w:outlineLvl w:val="2"/>
    </w:pPr>
    <w:rPr>
      <w:rFonts w:cs="宋体"/>
      <w:color w:val="0091D1"/>
      <w:kern w:val="0"/>
      <w:sz w:val="24"/>
      <w:szCs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23"/>
    <w:semiHidden/>
    <w:unhideWhenUsed/>
    <w:qFormat/>
    <w:uiPriority w:val="99"/>
    <w:pPr>
      <w:jc w:val="left"/>
    </w:p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oc 1"/>
    <w:basedOn w:val="1"/>
    <w:next w:val="1"/>
    <w:semiHidden/>
    <w:unhideWhenUsed/>
    <w:qFormat/>
    <w:uiPriority w:val="39"/>
  </w:style>
  <w:style w:type="paragraph" w:styleId="9">
    <w:name w:val="Title"/>
    <w:basedOn w:val="1"/>
    <w:next w:val="1"/>
    <w:link w:val="21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table" w:styleId="11">
    <w:name w:val="Table Grid"/>
    <w:basedOn w:val="10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标题 1 字符"/>
    <w:basedOn w:val="12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4">
    <w:name w:val="页脚 字符"/>
    <w:basedOn w:val="12"/>
    <w:link w:val="6"/>
    <w:qFormat/>
    <w:uiPriority w:val="99"/>
    <w:rPr>
      <w:sz w:val="18"/>
      <w:szCs w:val="18"/>
    </w:rPr>
  </w:style>
  <w:style w:type="character" w:customStyle="1" w:styleId="15">
    <w:name w:val="页眉 字符"/>
    <w:basedOn w:val="12"/>
    <w:link w:val="7"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标题 2 字符"/>
    <w:basedOn w:val="12"/>
    <w:link w:val="3"/>
    <w:qFormat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character" w:customStyle="1" w:styleId="18">
    <w:name w:val="标题 3 字符"/>
    <w:basedOn w:val="12"/>
    <w:link w:val="4"/>
    <w:semiHidden/>
    <w:qFormat/>
    <w:uiPriority w:val="0"/>
    <w:rPr>
      <w:rFonts w:cs="宋体"/>
      <w:color w:val="0091D1"/>
      <w:sz w:val="24"/>
      <w:szCs w:val="32"/>
    </w:rPr>
  </w:style>
  <w:style w:type="paragraph" w:customStyle="1" w:styleId="19">
    <w:name w:val="Block Label"/>
    <w:basedOn w:val="9"/>
    <w:next w:val="1"/>
    <w:qFormat/>
    <w:uiPriority w:val="0"/>
    <w:pPr>
      <w:keepNext/>
      <w:keepLines/>
      <w:tabs>
        <w:tab w:val="left" w:pos="360"/>
      </w:tabs>
      <w:spacing w:after="240"/>
      <w:ind w:left="2520" w:hanging="420"/>
      <w:jc w:val="both"/>
      <w:outlineLvl w:val="9"/>
    </w:pPr>
    <w:rPr>
      <w:rFonts w:ascii="Times new Roam" w:hAnsi="Times new Roam" w:cs="Book Antiqua" w:eastAsiaTheme="minorEastAsia"/>
      <w:bCs w:val="0"/>
      <w:color w:val="0063A8"/>
      <w:kern w:val="0"/>
      <w:sz w:val="24"/>
      <w:szCs w:val="26"/>
      <w:u w:val="double"/>
      <w14:numSpacing w14:val="tabular"/>
    </w:rPr>
  </w:style>
  <w:style w:type="paragraph" w:customStyle="1" w:styleId="20">
    <w:name w:val="Step"/>
    <w:basedOn w:val="1"/>
    <w:qFormat/>
    <w:uiPriority w:val="0"/>
    <w:pPr>
      <w:tabs>
        <w:tab w:val="left" w:pos="3420"/>
        <w:tab w:val="left" w:pos="3686"/>
      </w:tabs>
      <w:adjustRightInd w:val="0"/>
      <w:snapToGrid w:val="0"/>
      <w:spacing w:before="160" w:after="160"/>
      <w:ind w:left="1134" w:hanging="283"/>
    </w:pPr>
    <w:rPr>
      <w:kern w:val="0"/>
    </w:rPr>
  </w:style>
  <w:style w:type="character" w:customStyle="1" w:styleId="21">
    <w:name w:val="标题 字符"/>
    <w:basedOn w:val="12"/>
    <w:link w:val="9"/>
    <w:qFormat/>
    <w:uiPriority w:val="10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customStyle="1" w:styleId="2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23">
    <w:name w:val="批注文字 字符"/>
    <w:basedOn w:val="12"/>
    <w:link w:val="5"/>
    <w:semiHidden/>
    <w:qFormat/>
    <w:uiPriority w:val="99"/>
    <w:rPr>
      <w:kern w:val="2"/>
      <w:sz w:val="21"/>
      <w:szCs w:val="22"/>
    </w:rPr>
  </w:style>
  <w:style w:type="paragraph" w:customStyle="1" w:styleId="24">
    <w:name w:val="框架内容"/>
    <w:basedOn w:val="1"/>
    <w:qFormat/>
    <w:uiPriority w:val="0"/>
    <w:pPr>
      <w:spacing w:line="288" w:lineRule="auto"/>
    </w:pPr>
    <w:rPr>
      <w:rFonts w:ascii="Arial" w:hAnsi="Arial" w:eastAsia="华文细黑" w:cs="Times New Roman"/>
      <w:sz w:val="2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8.png"/><Relationship Id="rId8" Type="http://schemas.openxmlformats.org/officeDocument/2006/relationships/image" Target="media/image7.png"/><Relationship Id="rId7" Type="http://schemas.openxmlformats.org/officeDocument/2006/relationships/image" Target="media/image6.png"/><Relationship Id="rId6" Type="http://schemas.openxmlformats.org/officeDocument/2006/relationships/image" Target="media/image5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9</Pages>
  <Words>2253</Words>
  <Characters>2574</Characters>
  <Lines>22</Lines>
  <Paragraphs>6</Paragraphs>
  <TotalTime>0</TotalTime>
  <ScaleCrop>false</ScaleCrop>
  <LinksUpToDate>false</LinksUpToDate>
  <CharactersWithSpaces>2638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2019-12-18T03:53:00Z</dcterms:created>
  <dc:creator>USER-</dc:creator>
  <cp:lastModifiedBy>南瓜土豆</cp:lastModifiedBy>
  <dcterms:modified xsi:type="dcterms:W3CDTF">2022-12-20T08:23:38Z</dcterms:modified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8589E9B081C44D77AF3C656A96F62590</vt:lpwstr>
  </property>
</Properties>
</file>