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发言系统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spacing w:line="360" w:lineRule="auto"/>
        <w:ind w:firstLine="2601" w:firstLineChars="500"/>
        <w:jc w:val="left"/>
        <w:rPr>
          <w:rFonts w:hint="default" w:ascii="微软雅黑" w:hAnsi="微软雅黑" w:eastAsia="微软雅黑"/>
          <w:b/>
          <w:sz w:val="52"/>
          <w:szCs w:val="52"/>
          <w:lang w:val="en-US" w:eastAsia="zh-CN"/>
        </w:rPr>
      </w:pPr>
      <w:r>
        <w:rPr>
          <w:rFonts w:hint="eastAsia" w:ascii="微软雅黑" w:hAnsi="微软雅黑" w:eastAsia="微软雅黑"/>
          <w:b/>
          <w:sz w:val="52"/>
          <w:szCs w:val="52"/>
          <w:lang w:val="en-US" w:eastAsia="zh-CN"/>
        </w:rPr>
        <w:t>鹅颈式双备份主席单元</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DM-300C/S</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本手册中的信息已仔细检查，上海大因多媒体技术有限公司</w:t>
      </w:r>
      <w:r>
        <w:rPr>
          <w:rFonts w:hint="eastAsia" w:ascii="微软雅黑" w:hAnsi="微软雅黑" w:eastAsia="微软雅黑" w:cs="微软雅黑"/>
          <w:sz w:val="24"/>
          <w:szCs w:val="24"/>
          <w:highlight w:val="none"/>
          <w:lang w:val="en-US" w:eastAsia="zh-CN"/>
        </w:rPr>
        <w:t>发言系统系列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r>
        <w:rPr>
          <w:rFonts w:ascii="Arial" w:hAnsi="Arial" w:eastAsia="微软雅黑" w:cs="Arial"/>
          <w:sz w:val="24"/>
          <w:szCs w:val="24"/>
          <w:highlight w:val="none"/>
        </w:rPr>
        <w:t>＊</w:t>
      </w:r>
      <w:r>
        <w:rPr>
          <w:rFonts w:hint="eastAsia" w:ascii="Arial" w:hAnsi="Arial" w:eastAsia="微软雅黑" w:cs="Arial"/>
          <w:sz w:val="24"/>
          <w:szCs w:val="24"/>
          <w:highlight w:val="none"/>
        </w:rPr>
        <w:t>警告：本产品属于A类设备。在居住环境中，运行此设备可能会造成无线电干扰。</w:t>
      </w: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4"/>
        <w:jc w:val="both"/>
        <w:rPr>
          <w:rFonts w:ascii="微软雅黑" w:hAnsi="微软雅黑"/>
        </w:rPr>
      </w:pPr>
    </w:p>
    <w:p>
      <w:pPr>
        <w:pStyle w:val="34"/>
        <w:jc w:val="both"/>
        <w:rPr>
          <w:rFonts w:ascii="微软雅黑" w:hAnsi="微软雅黑"/>
        </w:rPr>
      </w:pPr>
      <w:r>
        <w:rPr>
          <w:rFonts w:hint="eastAsia"/>
          <w:lang w:val="en-US" w:eastAsia="zh-CN"/>
        </w:rPr>
        <w:t xml:space="preserve">                                   </w:t>
      </w:r>
    </w:p>
    <w:p>
      <w:pPr>
        <w:pStyle w:val="34"/>
        <w:jc w:val="center"/>
        <w:rPr>
          <w:rFonts w:ascii="微软雅黑" w:hAnsi="微软雅黑"/>
        </w:rPr>
      </w:pPr>
      <w:r>
        <w:drawing>
          <wp:inline distT="0" distB="0" distL="114300" distR="114300">
            <wp:extent cx="2523490" cy="2178685"/>
            <wp:effectExtent l="0" t="0" r="0" b="0"/>
            <wp:docPr id="49"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8"/>
                    <pic:cNvPicPr>
                      <a:picLocks noChangeAspect="1"/>
                    </pic:cNvPicPr>
                  </pic:nvPicPr>
                  <pic:blipFill>
                    <a:blip r:embed="rId6"/>
                    <a:stretch>
                      <a:fillRect/>
                    </a:stretch>
                  </pic:blipFill>
                  <pic:spPr>
                    <a:xfrm>
                      <a:off x="0" y="0"/>
                      <a:ext cx="2523490" cy="2178685"/>
                    </a:xfrm>
                    <a:prstGeom prst="rect">
                      <a:avLst/>
                    </a:prstGeom>
                  </pic:spPr>
                </pic:pic>
              </a:graphicData>
            </a:graphic>
          </wp:inline>
        </w:drawing>
      </w:r>
    </w:p>
    <w:p>
      <w:pPr>
        <w:pStyle w:val="34"/>
        <w:jc w:val="center"/>
        <w:rPr>
          <w:rFonts w:ascii="微软雅黑" w:hAnsi="微软雅黑"/>
        </w:rPr>
      </w:pPr>
    </w:p>
    <w:p>
      <w:pPr>
        <w:pStyle w:val="34"/>
        <w:jc w:val="both"/>
        <w:rPr>
          <w:rFonts w:ascii="微软雅黑" w:hAnsi="微软雅黑"/>
        </w:rPr>
      </w:pP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0" w:firstLine="0" w:firstLine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产品特点</w:t>
      </w:r>
    </w:p>
    <w:p>
      <w:pPr>
        <w:keepNext w:val="0"/>
        <w:keepLines w:val="0"/>
        <w:pageBreakBefore w:val="0"/>
        <w:widowControl w:val="0"/>
        <w:numPr>
          <w:ilvl w:val="0"/>
          <w:numId w:val="2"/>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数模双备份线路设计，具备6芯数字会议系统接口及模拟会议话筒3芯卡侬接口，两接口可同时使用，也可各自单独使用，其中一线路出现故障，另一路可无间断继续工作。</w:t>
      </w:r>
    </w:p>
    <w:p>
      <w:pPr>
        <w:keepNext w:val="0"/>
        <w:keepLines w:val="0"/>
        <w:pageBreakBefore w:val="0"/>
        <w:widowControl w:val="0"/>
        <w:numPr>
          <w:ilvl w:val="0"/>
          <w:numId w:val="2"/>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数字线路特点：</w:t>
      </w:r>
    </w:p>
    <w:p>
      <w:pPr>
        <w:keepNext w:val="0"/>
        <w:keepLines w:val="0"/>
        <w:pageBreakBefore w:val="0"/>
        <w:widowControl w:val="0"/>
        <w:numPr>
          <w:ilvl w:val="0"/>
          <w:numId w:val="2"/>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采用全数字会议技术，符合IEC60914国际标准；</w:t>
      </w:r>
    </w:p>
    <w:p>
      <w:pPr>
        <w:keepNext w:val="0"/>
        <w:keepLines w:val="0"/>
        <w:pageBreakBefore w:val="0"/>
        <w:widowControl w:val="0"/>
        <w:numPr>
          <w:ilvl w:val="0"/>
          <w:numId w:val="2"/>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数字线路为无源电路低功耗设计，由会议主机提供24V电源；</w:t>
      </w:r>
    </w:p>
    <w:p>
      <w:pPr>
        <w:keepNext w:val="0"/>
        <w:keepLines w:val="0"/>
        <w:pageBreakBefore w:val="0"/>
        <w:widowControl w:val="0"/>
        <w:numPr>
          <w:ilvl w:val="0"/>
          <w:numId w:val="2"/>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单路可连接25台会议单元(建议6芯线每路连接20台单台)，通过扩展主机整个会议系统的容量可达51200台；</w:t>
      </w:r>
    </w:p>
    <w:p>
      <w:pPr>
        <w:keepNext w:val="0"/>
        <w:keepLines w:val="0"/>
        <w:pageBreakBefore w:val="0"/>
        <w:widowControl w:val="0"/>
        <w:numPr>
          <w:ilvl w:val="0"/>
          <w:numId w:val="2"/>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简洁稳重的台面式抗静电功能设计，符合人体工程学，极具有现代科技感；</w:t>
      </w:r>
    </w:p>
    <w:p>
      <w:pPr>
        <w:keepNext w:val="0"/>
        <w:keepLines w:val="0"/>
        <w:pageBreakBefore w:val="0"/>
        <w:widowControl w:val="0"/>
        <w:numPr>
          <w:ilvl w:val="0"/>
          <w:numId w:val="2"/>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采用航空级别铝镁合金材质，经18道工序打磨而成；；</w:t>
      </w:r>
    </w:p>
    <w:p>
      <w:pPr>
        <w:keepNext w:val="0"/>
        <w:keepLines w:val="0"/>
        <w:pageBreakBefore w:val="0"/>
        <w:widowControl w:val="0"/>
        <w:numPr>
          <w:ilvl w:val="0"/>
          <w:numId w:val="2"/>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采用数字音频处理技术，频率响应可达40HZ-20KHZ，接近CD音质效果；</w:t>
      </w:r>
    </w:p>
    <w:p>
      <w:pPr>
        <w:keepNext w:val="0"/>
        <w:keepLines w:val="0"/>
        <w:pageBreakBefore w:val="0"/>
        <w:widowControl w:val="0"/>
        <w:numPr>
          <w:ilvl w:val="0"/>
          <w:numId w:val="2"/>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咪杆接头及所有螺柱均采用纯铜材质，还原音质，保证质量稳定性</w:t>
      </w:r>
    </w:p>
    <w:p>
      <w:pPr>
        <w:keepNext w:val="0"/>
        <w:keepLines w:val="0"/>
        <w:pageBreakBefore w:val="0"/>
        <w:widowControl w:val="0"/>
        <w:numPr>
          <w:ilvl w:val="0"/>
          <w:numId w:val="2"/>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系统采用ID寻址方式，会议管理软件或会议主机对单元定义ID编号，避免ID编号重复；</w:t>
      </w:r>
    </w:p>
    <w:p>
      <w:pPr>
        <w:keepNext w:val="0"/>
        <w:keepLines w:val="0"/>
        <w:pageBreakBefore w:val="0"/>
        <w:widowControl w:val="0"/>
        <w:numPr>
          <w:ilvl w:val="0"/>
          <w:numId w:val="2"/>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采用数字强抗干扰技术，确保使用数字线路接口，会场内设备不受手机、蓝牙、无线电、WiF等信号干扰；</w:t>
      </w:r>
    </w:p>
    <w:p>
      <w:pPr>
        <w:keepNext w:val="0"/>
        <w:keepLines w:val="0"/>
        <w:pageBreakBefore w:val="0"/>
        <w:widowControl w:val="0"/>
        <w:numPr>
          <w:ilvl w:val="0"/>
          <w:numId w:val="2"/>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自带1.5米线缆，在末端数字接口线缆与模拟接口线缆各自分开，数字线路不会对模拟线路产生干扰；</w:t>
      </w:r>
    </w:p>
    <w:p>
      <w:pPr>
        <w:keepNext w:val="0"/>
        <w:keepLines w:val="0"/>
        <w:pageBreakBefore w:val="0"/>
        <w:widowControl w:val="0"/>
        <w:numPr>
          <w:ilvl w:val="0"/>
          <w:numId w:val="2"/>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数字连接线缆从背面引出，移动位置方便，桌面整洁；</w:t>
      </w:r>
    </w:p>
    <w:p>
      <w:pPr>
        <w:keepNext w:val="0"/>
        <w:keepLines w:val="0"/>
        <w:pageBreakBefore w:val="0"/>
        <w:widowControl w:val="0"/>
        <w:numPr>
          <w:ilvl w:val="0"/>
          <w:numId w:val="2"/>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采用先进的静电隔离技术设计，即使在干燥的环境和地区使用数字线路接口，也可以避免产生静电；</w:t>
      </w:r>
    </w:p>
    <w:p>
      <w:pPr>
        <w:keepNext w:val="0"/>
        <w:keepLines w:val="0"/>
        <w:pageBreakBefore w:val="0"/>
        <w:widowControl w:val="0"/>
        <w:numPr>
          <w:ilvl w:val="0"/>
          <w:numId w:val="2"/>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具备线路带电“热插拔”功能，让系统的安全性得到更大的保证；</w:t>
      </w:r>
    </w:p>
    <w:p>
      <w:pPr>
        <w:keepNext w:val="0"/>
        <w:keepLines w:val="0"/>
        <w:pageBreakBefore w:val="0"/>
        <w:widowControl w:val="0"/>
        <w:numPr>
          <w:ilvl w:val="0"/>
          <w:numId w:val="2"/>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内置高通滤波器功能，方便在需要时切除声音中的低频成分；</w:t>
      </w:r>
    </w:p>
    <w:p>
      <w:pPr>
        <w:keepNext w:val="0"/>
        <w:keepLines w:val="0"/>
        <w:pageBreakBefore w:val="0"/>
        <w:widowControl w:val="0"/>
        <w:numPr>
          <w:ilvl w:val="0"/>
          <w:numId w:val="2"/>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采用专业无声机械按键，让会议宁静、安心专注。</w:t>
      </w:r>
    </w:p>
    <w:p>
      <w:pPr>
        <w:keepNext w:val="0"/>
        <w:keepLines w:val="0"/>
        <w:pageBreakBefore w:val="0"/>
        <w:widowControl w:val="0"/>
        <w:numPr>
          <w:ilvl w:val="0"/>
          <w:numId w:val="2"/>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模拟线路特点</w:t>
      </w:r>
    </w:p>
    <w:p>
      <w:pPr>
        <w:keepNext w:val="0"/>
        <w:keepLines w:val="0"/>
        <w:pageBreakBefore w:val="0"/>
        <w:widowControl w:val="0"/>
        <w:numPr>
          <w:ilvl w:val="0"/>
          <w:numId w:val="2"/>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符合IEC60914国际标准；</w:t>
      </w:r>
    </w:p>
    <w:p>
      <w:pPr>
        <w:keepNext w:val="0"/>
        <w:keepLines w:val="0"/>
        <w:pageBreakBefore w:val="0"/>
        <w:widowControl w:val="0"/>
        <w:numPr>
          <w:ilvl w:val="0"/>
          <w:numId w:val="2"/>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模拟线路接口为3芯卡侬无源电路低功耗设计，支持48V幻象供电；</w:t>
      </w:r>
    </w:p>
    <w:p>
      <w:pPr>
        <w:keepNext w:val="0"/>
        <w:keepLines w:val="0"/>
        <w:pageBreakBefore w:val="0"/>
        <w:widowControl w:val="0"/>
        <w:numPr>
          <w:ilvl w:val="0"/>
          <w:numId w:val="2"/>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也可直接连接到调音台上，由调音台进行幻象供电；</w:t>
      </w:r>
    </w:p>
    <w:p>
      <w:pPr>
        <w:keepNext w:val="0"/>
        <w:keepLines w:val="0"/>
        <w:pageBreakBefore w:val="0"/>
        <w:widowControl w:val="0"/>
        <w:numPr>
          <w:ilvl w:val="0"/>
          <w:numId w:val="2"/>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3芯卡侬模拟接口供电。</w:t>
      </w:r>
    </w:p>
    <w:p>
      <w:pPr>
        <w:keepNext w:val="0"/>
        <w:keepLines w:val="0"/>
        <w:pageBreakBefore w:val="0"/>
        <w:widowControl w:val="0"/>
        <w:numPr>
          <w:ilvl w:val="0"/>
          <w:numId w:val="2"/>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驻极体超心形指向性麦克风，确保拾音距离及声音质量，拾音距离可达50cm </w:t>
      </w:r>
    </w:p>
    <w:p>
      <w:pPr>
        <w:keepNext w:val="0"/>
        <w:keepLines w:val="0"/>
        <w:pageBreakBefore w:val="0"/>
        <w:widowControl w:val="0"/>
        <w:numPr>
          <w:ilvl w:val="0"/>
          <w:numId w:val="2"/>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模拟线路采用音频无压缩设计，频率响应可达40HZ-20KHZ；</w:t>
      </w:r>
    </w:p>
    <w:p>
      <w:pPr>
        <w:keepNext w:val="0"/>
        <w:keepLines w:val="0"/>
        <w:pageBreakBefore w:val="0"/>
        <w:widowControl w:val="0"/>
        <w:numPr>
          <w:ilvl w:val="0"/>
          <w:numId w:val="2"/>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自带1.5米线缆(可根据现场需要定制线的长度)；在末端数字接口线缆与模拟接口线缆各自分开，模拟线路不会对数字线路产生干扰；</w:t>
      </w:r>
    </w:p>
    <w:p>
      <w:pPr>
        <w:keepNext w:val="0"/>
        <w:keepLines w:val="0"/>
        <w:pageBreakBefore w:val="0"/>
        <w:widowControl w:val="0"/>
        <w:numPr>
          <w:ilvl w:val="0"/>
          <w:numId w:val="2"/>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模拟线路接口连接线从背面引出，移动位置方便，桌面整洁；</w:t>
      </w:r>
    </w:p>
    <w:p>
      <w:pPr>
        <w:keepNext w:val="0"/>
        <w:keepLines w:val="0"/>
        <w:pageBreakBefore w:val="0"/>
        <w:widowControl w:val="0"/>
        <w:numPr>
          <w:ilvl w:val="0"/>
          <w:numId w:val="2"/>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内置带通滤波器功能，能有效滤除音频成分外噪声。</w:t>
      </w:r>
    </w:p>
    <w:p>
      <w:pPr>
        <w:keepNext w:val="0"/>
        <w:keepLines w:val="0"/>
        <w:pageBreakBefore w:val="0"/>
        <w:widowControl w:val="0"/>
        <w:numPr>
          <w:ilvl w:val="0"/>
          <w:numId w:val="2"/>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手机、蓝牙、WiF不会对使用模拟线路干扰；</w:t>
      </w:r>
    </w:p>
    <w:p>
      <w:pPr>
        <w:keepNext w:val="0"/>
        <w:keepLines w:val="0"/>
        <w:pageBreakBefore w:val="0"/>
        <w:widowControl w:val="0"/>
        <w:numPr>
          <w:ilvl w:val="0"/>
          <w:numId w:val="2"/>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在干燥的环境和地区使用模拟线路，不会产生静电干扰。麦克风类型：心形指向性驻极体</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left"/>
        <w:textAlignment w:val="auto"/>
        <w:rPr>
          <w:rFonts w:hint="eastAsia" w:ascii="微软雅黑" w:hAnsi="微软雅黑" w:eastAsia="微软雅黑" w:cs="微软雅黑"/>
          <w:kern w:val="2"/>
          <w:sz w:val="24"/>
          <w:szCs w:val="24"/>
          <w:lang w:val="en-US" w:eastAsia="zh-CN" w:bidi="ar-SA"/>
        </w:rPr>
      </w:pPr>
    </w:p>
    <w:p>
      <w:pPr>
        <w:keepNext w:val="0"/>
        <w:keepLines w:val="0"/>
        <w:pageBreakBefore w:val="0"/>
        <w:widowControl w:val="0"/>
        <w:numPr>
          <w:ilvl w:val="0"/>
          <w:numId w:val="3"/>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可插拔式话筒杆，内置14MM镀金拾音头；</w:t>
      </w:r>
    </w:p>
    <w:p>
      <w:pPr>
        <w:keepNext w:val="0"/>
        <w:keepLines w:val="0"/>
        <w:pageBreakBefore w:val="0"/>
        <w:widowControl w:val="0"/>
        <w:numPr>
          <w:ilvl w:val="0"/>
          <w:numId w:val="3"/>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支持双备份设计，可支持手拉手会议与48V幻象供电双系统音频信号同时输出；</w:t>
      </w:r>
    </w:p>
    <w:p>
      <w:pPr>
        <w:keepNext w:val="0"/>
        <w:keepLines w:val="0"/>
        <w:pageBreakBefore w:val="0"/>
        <w:widowControl w:val="0"/>
        <w:numPr>
          <w:ilvl w:val="0"/>
          <w:numId w:val="3"/>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底座优质全铝合金CNC精雕加工一体成型，表面无接缝、无螺丝孔，具备防水防尘功能，防止开会过程中茶水泼溅影响设备正常使用；</w:t>
      </w:r>
    </w:p>
    <w:p>
      <w:pPr>
        <w:keepNext w:val="0"/>
        <w:keepLines w:val="0"/>
        <w:pageBreakBefore w:val="0"/>
        <w:widowControl w:val="0"/>
        <w:numPr>
          <w:ilvl w:val="0"/>
          <w:numId w:val="3"/>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采用专业电容式触摸感应按键，开关时无机械按键声；</w:t>
      </w:r>
    </w:p>
    <w:p>
      <w:pPr>
        <w:keepNext w:val="0"/>
        <w:keepLines w:val="0"/>
        <w:pageBreakBefore w:val="0"/>
        <w:widowControl w:val="0"/>
        <w:numPr>
          <w:ilvl w:val="0"/>
          <w:numId w:val="3"/>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具备智能音频检测功能，当相邻两台单元距离靠近时，音频自动反相衰减保证不出现啸叫；（提供样机现场演示）</w:t>
      </w:r>
    </w:p>
    <w:p>
      <w:pPr>
        <w:keepNext w:val="0"/>
        <w:keepLines w:val="0"/>
        <w:pageBreakBefore w:val="0"/>
        <w:widowControl w:val="0"/>
        <w:numPr>
          <w:ilvl w:val="0"/>
          <w:numId w:val="3"/>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具备≥七种会议模式，包括先进先出、数量限制模式、主席允许(申请发言)、声控启动、限时发言、排队发言、自由讨论等模式；</w:t>
      </w:r>
    </w:p>
    <w:p>
      <w:pPr>
        <w:keepNext w:val="0"/>
        <w:keepLines w:val="0"/>
        <w:pageBreakBefore w:val="0"/>
        <w:widowControl w:val="0"/>
        <w:numPr>
          <w:ilvl w:val="0"/>
          <w:numId w:val="3"/>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代表单元发言人数限制不少于6个，主席和VIP不受数量限制，自由讨论模式发言人数不受限制，可以全部打开；</w:t>
      </w:r>
    </w:p>
    <w:p>
      <w:pPr>
        <w:keepNext w:val="0"/>
        <w:keepLines w:val="0"/>
        <w:pageBreakBefore w:val="0"/>
        <w:widowControl w:val="0"/>
        <w:numPr>
          <w:ilvl w:val="0"/>
          <w:numId w:val="3"/>
        </w:numPr>
        <w:kinsoku/>
        <w:wordWrap/>
        <w:overflowPunct/>
        <w:topLinePunct w:val="0"/>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具备在线设置与修改单元身份，主席单元、VIP单元、代表单元身份可根据需求重新分配与设置；</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left"/>
        <w:textAlignment w:val="auto"/>
        <w:rPr>
          <w:rFonts w:hint="eastAsia" w:ascii="微软雅黑" w:hAnsi="微软雅黑" w:eastAsia="微软雅黑" w:cs="微软雅黑"/>
          <w:kern w:val="2"/>
          <w:sz w:val="24"/>
          <w:szCs w:val="24"/>
          <w:lang w:val="en-US" w:eastAsia="zh-CN" w:bidi="ar-SA"/>
        </w:rPr>
      </w:pPr>
    </w:p>
    <w:p>
      <w:pPr>
        <w:pStyle w:val="2"/>
        <w:rPr>
          <w:rFonts w:hint="eastAsia"/>
          <w:lang w:val="en-US" w:eastAsia="zh-CN"/>
        </w:rPr>
      </w:pP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440" w:lineRule="exact"/>
        <w:ind w:left="0" w:firstLine="0" w:firstLine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产品参数</w:t>
      </w:r>
    </w:p>
    <w:tbl>
      <w:tblPr>
        <w:tblStyle w:val="1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60"/>
        <w:gridCol w:w="46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7" w:hRule="atLeast"/>
          <w:jc w:val="center"/>
        </w:trPr>
        <w:tc>
          <w:tcPr>
            <w:tcW w:w="3260" w:type="dxa"/>
            <w:vAlign w:val="center"/>
          </w:tcPr>
          <w:p>
            <w:pPr>
              <w:numPr>
                <w:ilvl w:val="0"/>
                <w:numId w:val="0"/>
              </w:numPr>
              <w:spacing w:before="42" w:line="240" w:lineRule="auto"/>
              <w:ind w:leftChars="0" w:right="738" w:rightChars="0"/>
              <w:jc w:val="center"/>
              <w:rPr>
                <w:rFonts w:hint="eastAsia" w:ascii="宋体" w:hAnsi="宋体" w:eastAsia="宋体" w:cs="宋体"/>
                <w:sz w:val="20"/>
                <w:szCs w:val="20"/>
                <w:highlight w:val="none"/>
                <w:lang w:eastAsia="zh-Hans"/>
              </w:rPr>
            </w:pPr>
            <w:r>
              <w:rPr>
                <w:rFonts w:hint="eastAsia" w:ascii="宋体" w:hAnsi="宋体" w:eastAsia="宋体" w:cs="宋体"/>
                <w:lang w:val="en-US" w:eastAsia="zh-CN"/>
              </w:rPr>
              <w:t xml:space="preserve">     </w:t>
            </w:r>
            <w:r>
              <w:rPr>
                <w:rFonts w:hint="eastAsia" w:ascii="宋体" w:hAnsi="宋体" w:eastAsia="宋体" w:cs="宋体"/>
              </w:rPr>
              <w:t>频率响应</w:t>
            </w:r>
          </w:p>
        </w:tc>
        <w:tc>
          <w:tcPr>
            <w:tcW w:w="4699" w:type="dxa"/>
            <w:vAlign w:val="center"/>
          </w:tcPr>
          <w:p>
            <w:pPr>
              <w:numPr>
                <w:ilvl w:val="0"/>
                <w:numId w:val="0"/>
              </w:numPr>
              <w:ind w:leftChars="0" w:right="0" w:rightChars="0"/>
              <w:jc w:val="center"/>
              <w:rPr>
                <w:rFonts w:hint="eastAsia" w:ascii="宋体" w:hAnsi="宋体" w:eastAsia="宋体" w:cs="宋体"/>
                <w:sz w:val="20"/>
                <w:szCs w:val="20"/>
                <w:highlight w:val="none"/>
                <w:lang w:val="en-US" w:eastAsia="zh-Hans"/>
              </w:rPr>
            </w:pPr>
            <w:r>
              <w:rPr>
                <w:rFonts w:hint="eastAsia" w:ascii="宋体" w:hAnsi="宋体" w:eastAsia="宋体" w:cs="宋体"/>
              </w:rPr>
              <w:t>30Hz~20KHz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7" w:hRule="atLeast"/>
          <w:jc w:val="center"/>
        </w:trPr>
        <w:tc>
          <w:tcPr>
            <w:tcW w:w="3260" w:type="dxa"/>
            <w:vAlign w:val="center"/>
          </w:tcPr>
          <w:p>
            <w:pPr>
              <w:numPr>
                <w:ilvl w:val="0"/>
                <w:numId w:val="0"/>
              </w:numPr>
              <w:spacing w:before="42" w:line="240" w:lineRule="auto"/>
              <w:ind w:leftChars="0" w:right="738" w:rightChars="0"/>
              <w:jc w:val="center"/>
              <w:rPr>
                <w:rFonts w:hint="eastAsia" w:ascii="宋体" w:hAnsi="宋体" w:eastAsia="宋体" w:cs="宋体"/>
                <w:color w:val="000006"/>
                <w:sz w:val="20"/>
                <w:szCs w:val="20"/>
                <w:highlight w:val="none"/>
                <w:lang w:eastAsia="zh-Hans"/>
              </w:rPr>
            </w:pPr>
            <w:r>
              <w:rPr>
                <w:rFonts w:hint="eastAsia" w:ascii="宋体" w:hAnsi="宋体" w:eastAsia="宋体" w:cs="宋体"/>
                <w:lang w:val="en-US" w:eastAsia="zh-CN"/>
              </w:rPr>
              <w:t xml:space="preserve">    </w:t>
            </w:r>
            <w:r>
              <w:rPr>
                <w:rFonts w:hint="eastAsia" w:ascii="宋体" w:hAnsi="宋体" w:eastAsia="宋体" w:cs="宋体"/>
              </w:rPr>
              <w:t>信噪比</w:t>
            </w:r>
          </w:p>
        </w:tc>
        <w:tc>
          <w:tcPr>
            <w:tcW w:w="4699" w:type="dxa"/>
            <w:vAlign w:val="center"/>
          </w:tcPr>
          <w:p>
            <w:pPr>
              <w:numPr>
                <w:ilvl w:val="0"/>
                <w:numId w:val="0"/>
              </w:numPr>
              <w:ind w:leftChars="0" w:right="0" w:rightChars="0"/>
              <w:jc w:val="center"/>
              <w:rPr>
                <w:rFonts w:hint="eastAsia" w:ascii="宋体" w:hAnsi="宋体" w:eastAsia="宋体" w:cs="宋体"/>
                <w:sz w:val="20"/>
                <w:szCs w:val="20"/>
                <w:highlight w:val="none"/>
                <w:lang w:val="en-US" w:eastAsia="zh-Hans"/>
              </w:rPr>
            </w:pPr>
            <w:r>
              <w:rPr>
                <w:rFonts w:hint="eastAsia" w:ascii="宋体" w:hAnsi="宋体" w:eastAsia="宋体" w:cs="宋体"/>
              </w:rPr>
              <w:t>&gt;90dB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jc w:val="center"/>
        </w:trPr>
        <w:tc>
          <w:tcPr>
            <w:tcW w:w="3260" w:type="dxa"/>
            <w:vAlign w:val="center"/>
          </w:tcPr>
          <w:p>
            <w:pPr>
              <w:numPr>
                <w:ilvl w:val="0"/>
                <w:numId w:val="0"/>
              </w:numPr>
              <w:spacing w:line="250" w:lineRule="exact"/>
              <w:ind w:leftChars="0" w:right="738" w:rightChars="0"/>
              <w:jc w:val="center"/>
              <w:rPr>
                <w:rFonts w:hint="eastAsia" w:ascii="宋体" w:hAnsi="宋体" w:eastAsia="宋体" w:cs="宋体"/>
                <w:sz w:val="20"/>
                <w:szCs w:val="20"/>
                <w:highlight w:val="none"/>
              </w:rPr>
            </w:pPr>
            <w:r>
              <w:rPr>
                <w:rFonts w:hint="eastAsia" w:ascii="宋体" w:hAnsi="宋体" w:eastAsia="宋体" w:cs="宋体"/>
                <w:lang w:val="en-US" w:eastAsia="zh-CN"/>
              </w:rPr>
              <w:t xml:space="preserve">   </w:t>
            </w:r>
            <w:r>
              <w:rPr>
                <w:rFonts w:hint="eastAsia" w:ascii="宋体" w:hAnsi="宋体" w:eastAsia="宋体" w:cs="宋体"/>
              </w:rPr>
              <w:t>动态范围</w:t>
            </w:r>
          </w:p>
        </w:tc>
        <w:tc>
          <w:tcPr>
            <w:tcW w:w="4699" w:type="dxa"/>
            <w:vAlign w:val="center"/>
          </w:tcPr>
          <w:p>
            <w:pPr>
              <w:numPr>
                <w:ilvl w:val="0"/>
                <w:numId w:val="0"/>
              </w:numPr>
              <w:spacing w:line="250"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rPr>
              <w:t>96dB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jc w:val="center"/>
        </w:trPr>
        <w:tc>
          <w:tcPr>
            <w:tcW w:w="3260" w:type="dxa"/>
            <w:vAlign w:val="center"/>
          </w:tcPr>
          <w:p>
            <w:pPr>
              <w:numPr>
                <w:ilvl w:val="0"/>
                <w:numId w:val="0"/>
              </w:numPr>
              <w:spacing w:line="250" w:lineRule="exact"/>
              <w:ind w:leftChars="0" w:right="738" w:rightChars="0"/>
              <w:jc w:val="center"/>
              <w:rPr>
                <w:rFonts w:hint="eastAsia" w:ascii="宋体" w:hAnsi="宋体" w:eastAsia="宋体" w:cs="宋体"/>
                <w:sz w:val="20"/>
                <w:szCs w:val="20"/>
                <w:highlight w:val="none"/>
                <w:lang w:val="en-US" w:eastAsia="zh-Hans"/>
              </w:rPr>
            </w:pPr>
            <w:r>
              <w:rPr>
                <w:rFonts w:hint="eastAsia" w:ascii="宋体" w:hAnsi="宋体" w:eastAsia="宋体" w:cs="宋体"/>
                <w:lang w:val="en-US" w:eastAsia="zh-CN"/>
              </w:rPr>
              <w:t xml:space="preserve">    </w:t>
            </w:r>
            <w:r>
              <w:rPr>
                <w:rFonts w:hint="eastAsia" w:ascii="宋体" w:hAnsi="宋体" w:eastAsia="宋体" w:cs="宋体"/>
              </w:rPr>
              <w:t>总谐波失真</w:t>
            </w:r>
          </w:p>
        </w:tc>
        <w:tc>
          <w:tcPr>
            <w:tcW w:w="4699" w:type="dxa"/>
            <w:vAlign w:val="center"/>
          </w:tcPr>
          <w:p>
            <w:pPr>
              <w:numPr>
                <w:ilvl w:val="0"/>
                <w:numId w:val="0"/>
              </w:numPr>
              <w:spacing w:line="250"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rPr>
              <w:t>&lt; 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right="0" w:rightChars="0" w:firstLine="840" w:firstLineChars="400"/>
              <w:jc w:val="both"/>
              <w:rPr>
                <w:rFonts w:hint="eastAsia" w:ascii="宋体" w:hAnsi="宋体" w:eastAsia="宋体" w:cs="宋体"/>
                <w:sz w:val="20"/>
                <w:szCs w:val="20"/>
                <w:highlight w:val="none"/>
                <w:lang w:val="en-US" w:eastAsia="zh-Hans"/>
              </w:rPr>
            </w:pPr>
            <w:r>
              <w:rPr>
                <w:rFonts w:hint="eastAsia" w:ascii="宋体" w:hAnsi="宋体" w:eastAsia="宋体" w:cs="宋体"/>
              </w:rPr>
              <w:t>麦克风灵敏度</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rPr>
              <w:t>-37dB±2dB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highlight w:val="none"/>
                <w:lang w:val="en-US" w:eastAsia="zh-Hans"/>
              </w:rPr>
            </w:pPr>
            <w:r>
              <w:rPr>
                <w:rFonts w:hint="eastAsia" w:ascii="宋体" w:hAnsi="宋体" w:eastAsia="宋体" w:cs="宋体"/>
              </w:rPr>
              <w:t>工作电压</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rPr>
              <w:t>24V DC±5％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highlight w:val="none"/>
                <w:lang w:val="en-US" w:eastAsia="zh-Hans"/>
              </w:rPr>
            </w:pPr>
            <w:r>
              <w:rPr>
                <w:rFonts w:hint="eastAsia" w:ascii="宋体" w:hAnsi="宋体" w:eastAsia="宋体" w:cs="宋体"/>
              </w:rPr>
              <w:t>工作电流</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rPr>
              <w:t>80mA ±5％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highlight w:val="none"/>
                <w:lang w:val="en-US" w:eastAsia="zh-Hans"/>
              </w:rPr>
            </w:pPr>
            <w:r>
              <w:rPr>
                <w:rFonts w:hint="eastAsia" w:ascii="宋体" w:hAnsi="宋体" w:eastAsia="宋体" w:cs="宋体"/>
              </w:rPr>
              <w:t>连接方式</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rPr>
              <w:t>T型头、环形手拉手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highlight w:val="none"/>
              </w:rPr>
            </w:pPr>
            <w:r>
              <w:rPr>
                <w:rFonts w:hint="eastAsia" w:ascii="宋体" w:hAnsi="宋体" w:eastAsia="宋体" w:cs="宋体"/>
              </w:rPr>
              <w:t>连接头</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rPr>
              <w:t>大8芯（或网口）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highlight w:val="none"/>
              </w:rPr>
            </w:pPr>
            <w:r>
              <w:rPr>
                <w:rFonts w:hint="eastAsia" w:ascii="宋体" w:hAnsi="宋体" w:eastAsia="宋体" w:cs="宋体"/>
              </w:rPr>
              <w:t>单元开启数量</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rPr>
              <w:t>1/2/3/4/5/6/7/8/9或所有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highlight w:val="none"/>
              </w:rPr>
            </w:pPr>
            <w:r>
              <w:rPr>
                <w:rFonts w:hint="eastAsia" w:ascii="宋体" w:hAnsi="宋体" w:eastAsia="宋体" w:cs="宋体"/>
              </w:rPr>
              <w:t>编号功能</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rPr>
              <w:t>可自定义ID编号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highlight w:val="none"/>
              </w:rPr>
            </w:pPr>
            <w:r>
              <w:rPr>
                <w:rFonts w:hint="eastAsia" w:ascii="宋体" w:hAnsi="宋体" w:eastAsia="宋体" w:cs="宋体"/>
              </w:rPr>
              <w:t>单元功耗</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lang w:val="en-US"/>
              </w:rPr>
            </w:pPr>
            <w:r>
              <w:rPr>
                <w:rFonts w:hint="eastAsia" w:ascii="宋体" w:hAnsi="宋体" w:eastAsia="宋体" w:cs="宋体"/>
              </w:rPr>
              <w:t>2W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highlight w:val="none"/>
              </w:rPr>
            </w:pPr>
            <w:r>
              <w:rPr>
                <w:rFonts w:hint="eastAsia" w:ascii="宋体" w:hAnsi="宋体" w:eastAsia="宋体" w:cs="宋体"/>
              </w:rPr>
              <w:t>等效噪声</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rPr>
              <w:t>20dBA  (SPL)</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highlight w:val="none"/>
              </w:rPr>
            </w:pPr>
            <w:r>
              <w:rPr>
                <w:rFonts w:hint="eastAsia" w:ascii="宋体" w:hAnsi="宋体" w:eastAsia="宋体" w:cs="宋体"/>
              </w:rPr>
              <w:t>最大声压级</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rPr>
              <w:t>125dB （THD&lt;3%）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highlight w:val="none"/>
              </w:rPr>
            </w:pPr>
            <w:r>
              <w:rPr>
                <w:rFonts w:hint="eastAsia" w:ascii="宋体" w:hAnsi="宋体" w:eastAsia="宋体" w:cs="宋体"/>
              </w:rPr>
              <w:t>话筒杆长度</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lang w:val="en-US" w:eastAsia="zh-CN"/>
              </w:rPr>
            </w:pPr>
            <w:r>
              <w:rPr>
                <w:rFonts w:hint="eastAsia" w:ascii="宋体" w:hAnsi="宋体" w:eastAsia="宋体" w:cs="宋体"/>
              </w:rPr>
              <w:t>不小于38cm</w:t>
            </w:r>
          </w:p>
        </w:tc>
      </w:tr>
    </w:tbl>
    <w:p>
      <w:pPr>
        <w:rPr>
          <w:rFonts w:hint="eastAsia" w:asciiTheme="minorEastAsia" w:hAnsiTheme="minorEastAsia" w:eastAsiaTheme="minorEastAsia" w:cstheme="minorEastAsia"/>
          <w:sz w:val="20"/>
          <w:szCs w:val="20"/>
          <w:highlight w:val="none"/>
          <w:lang w:val="en-US" w:eastAsia="zh-CN"/>
        </w:rPr>
      </w:pPr>
    </w:p>
    <w:p>
      <w:pPr>
        <w:rPr>
          <w:rFonts w:hint="eastAsia"/>
          <w:sz w:val="20"/>
          <w:szCs w:val="20"/>
          <w:lang w:val="en-US" w:eastAsia="zh-CN"/>
        </w:rPr>
      </w:pPr>
    </w:p>
    <w:p/>
    <w:p/>
    <w:p>
      <w:pPr>
        <w:pStyle w:val="2"/>
      </w:pPr>
    </w:p>
    <w:p>
      <w:pPr>
        <w:pStyle w:val="2"/>
      </w:pPr>
    </w:p>
    <w:p>
      <w:pPr>
        <w:pStyle w:val="2"/>
        <w:rPr>
          <w:rFonts w:hint="eastAsia"/>
          <w:lang w:val="en-US" w:eastAsia="zh-CN"/>
        </w:rPr>
      </w:pPr>
      <w:bookmarkStart w:id="1" w:name="_GoBack"/>
      <w:bookmarkEnd w:id="1"/>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51109A"/>
    <w:multiLevelType w:val="multilevel"/>
    <w:tmpl w:val="1F51109A"/>
    <w:lvl w:ilvl="0" w:tentative="0">
      <w:start w:val="1"/>
      <w:numFmt w:val="japaneseCounting"/>
      <w:lvlText w:val="%1、"/>
      <w:lvlJc w:val="left"/>
      <w:pPr>
        <w:ind w:left="3870" w:hanging="510"/>
      </w:pPr>
      <w:rPr>
        <w:rFonts w:hint="default"/>
      </w:rPr>
    </w:lvl>
    <w:lvl w:ilvl="1" w:tentative="0">
      <w:start w:val="4"/>
      <w:numFmt w:val="japaneseCounting"/>
      <w:lvlText w:val="%2、"/>
      <w:lvlJc w:val="left"/>
      <w:pPr>
        <w:ind w:left="4500" w:hanging="720"/>
      </w:pPr>
      <w:rPr>
        <w:rFonts w:hint="default"/>
      </w:rPr>
    </w:lvl>
    <w:lvl w:ilvl="2" w:tentative="0">
      <w:start w:val="1"/>
      <w:numFmt w:val="lowerRoman"/>
      <w:lvlText w:val="%3."/>
      <w:lvlJc w:val="right"/>
      <w:pPr>
        <w:ind w:left="4620" w:hanging="420"/>
      </w:pPr>
    </w:lvl>
    <w:lvl w:ilvl="3" w:tentative="0">
      <w:start w:val="1"/>
      <w:numFmt w:val="decimal"/>
      <w:lvlText w:val="%4."/>
      <w:lvlJc w:val="left"/>
      <w:pPr>
        <w:ind w:left="5040" w:hanging="420"/>
      </w:pPr>
    </w:lvl>
    <w:lvl w:ilvl="4" w:tentative="0">
      <w:start w:val="1"/>
      <w:numFmt w:val="lowerLetter"/>
      <w:lvlText w:val="%5)"/>
      <w:lvlJc w:val="left"/>
      <w:pPr>
        <w:ind w:left="5460" w:hanging="420"/>
      </w:pPr>
    </w:lvl>
    <w:lvl w:ilvl="5" w:tentative="0">
      <w:start w:val="1"/>
      <w:numFmt w:val="lowerRoman"/>
      <w:lvlText w:val="%6."/>
      <w:lvlJc w:val="right"/>
      <w:pPr>
        <w:ind w:left="5880" w:hanging="420"/>
      </w:pPr>
    </w:lvl>
    <w:lvl w:ilvl="6" w:tentative="0">
      <w:start w:val="1"/>
      <w:numFmt w:val="decimal"/>
      <w:lvlText w:val="%7."/>
      <w:lvlJc w:val="left"/>
      <w:pPr>
        <w:ind w:left="6300" w:hanging="420"/>
      </w:pPr>
    </w:lvl>
    <w:lvl w:ilvl="7" w:tentative="0">
      <w:start w:val="1"/>
      <w:numFmt w:val="lowerLetter"/>
      <w:lvlText w:val="%8)"/>
      <w:lvlJc w:val="left"/>
      <w:pPr>
        <w:ind w:left="6720" w:hanging="420"/>
      </w:pPr>
    </w:lvl>
    <w:lvl w:ilvl="8" w:tentative="0">
      <w:start w:val="1"/>
      <w:numFmt w:val="lowerRoman"/>
      <w:lvlText w:val="%9."/>
      <w:lvlJc w:val="right"/>
      <w:pPr>
        <w:ind w:left="7140" w:hanging="420"/>
      </w:pPr>
    </w:lvl>
  </w:abstractNum>
  <w:abstractNum w:abstractNumId="1">
    <w:nsid w:val="612CABF9"/>
    <w:multiLevelType w:val="singleLevel"/>
    <w:tmpl w:val="612CABF9"/>
    <w:lvl w:ilvl="0" w:tentative="0">
      <w:start w:val="1"/>
      <w:numFmt w:val="bullet"/>
      <w:lvlText w:val=""/>
      <w:lvlJc w:val="left"/>
      <w:pPr>
        <w:ind w:left="420" w:leftChars="0" w:hanging="420" w:firstLineChars="0"/>
      </w:pPr>
      <w:rPr>
        <w:rFonts w:hint="default" w:ascii="Wingdings" w:hAnsi="Wingdings"/>
      </w:rPr>
    </w:lvl>
  </w:abstractNum>
  <w:abstractNum w:abstractNumId="2">
    <w:nsid w:val="612CACBA"/>
    <w:multiLevelType w:val="singleLevel"/>
    <w:tmpl w:val="612CACBA"/>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4F16A54"/>
    <w:rsid w:val="15D055B6"/>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5800FD6"/>
    <w:rsid w:val="25D30D3F"/>
    <w:rsid w:val="26A34BB6"/>
    <w:rsid w:val="2A6428AE"/>
    <w:rsid w:val="2B847C6D"/>
    <w:rsid w:val="2D1C7470"/>
    <w:rsid w:val="2D870D8D"/>
    <w:rsid w:val="2E335B48"/>
    <w:rsid w:val="2FB90FA6"/>
    <w:rsid w:val="302A3C52"/>
    <w:rsid w:val="302C5C1C"/>
    <w:rsid w:val="311A1F18"/>
    <w:rsid w:val="315E1E05"/>
    <w:rsid w:val="319620CE"/>
    <w:rsid w:val="3546508A"/>
    <w:rsid w:val="35AA386B"/>
    <w:rsid w:val="393578EF"/>
    <w:rsid w:val="39616936"/>
    <w:rsid w:val="3A323E2F"/>
    <w:rsid w:val="3ACA6ACC"/>
    <w:rsid w:val="3C4D4F50"/>
    <w:rsid w:val="3D5F318D"/>
    <w:rsid w:val="3DFC6C2D"/>
    <w:rsid w:val="3DFE0BF8"/>
    <w:rsid w:val="3F163D1F"/>
    <w:rsid w:val="402C30CE"/>
    <w:rsid w:val="40DC4AF4"/>
    <w:rsid w:val="41CE08E1"/>
    <w:rsid w:val="445F194D"/>
    <w:rsid w:val="449F6565"/>
    <w:rsid w:val="45E5269D"/>
    <w:rsid w:val="4C1B2975"/>
    <w:rsid w:val="4C3D0532"/>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77671A1"/>
    <w:rsid w:val="690A736D"/>
    <w:rsid w:val="69586B5E"/>
    <w:rsid w:val="6C044D7B"/>
    <w:rsid w:val="6DE035C6"/>
    <w:rsid w:val="6E680AEE"/>
    <w:rsid w:val="6EAD133E"/>
    <w:rsid w:val="6F142AB7"/>
    <w:rsid w:val="6F7C10CD"/>
    <w:rsid w:val="7027728A"/>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1991</Words>
  <Characters>2152</Characters>
  <Lines>6</Lines>
  <Paragraphs>1</Paragraphs>
  <TotalTime>3</TotalTime>
  <ScaleCrop>false</ScaleCrop>
  <LinksUpToDate>false</LinksUpToDate>
  <CharactersWithSpaces>2222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2022-12-14T02:42:42Z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C6AA04B11A444A04ACA36177DA5C1AED</vt:lpwstr>
  </property>
</Properties>
</file>