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spacing w:line="360" w:lineRule="auto"/>
        <w:ind w:firstLine="2601" w:firstLineChars="500"/>
        <w:jc w:val="left"/>
        <w:rPr>
          <w:rFonts w:hint="default"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鹅颈式双备份主席单元</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DM-300C/S</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发言系统系列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4"/>
        <w:jc w:val="both"/>
        <w:rPr>
          <w:rFonts w:ascii="微软雅黑" w:hAnsi="微软雅黑"/>
        </w:rPr>
      </w:pPr>
    </w:p>
    <w:p>
      <w:pPr>
        <w:pStyle w:val="34"/>
        <w:jc w:val="both"/>
        <w:rPr>
          <w:rFonts w:ascii="微软雅黑" w:hAnsi="微软雅黑"/>
        </w:rPr>
      </w:pPr>
      <w:r>
        <w:rPr>
          <w:rFonts w:hint="eastAsia"/>
          <w:lang w:val="en-US" w:eastAsia="zh-CN"/>
        </w:rPr>
        <w:t xml:space="preserve">                                   </w:t>
      </w:r>
    </w:p>
    <w:p>
      <w:pPr>
        <w:pStyle w:val="34"/>
        <w:jc w:val="center"/>
        <w:rPr>
          <w:rFonts w:ascii="微软雅黑" w:hAnsi="微软雅黑"/>
        </w:rPr>
      </w:pPr>
      <w:r>
        <w:drawing>
          <wp:inline distT="0" distB="0" distL="114300" distR="114300">
            <wp:extent cx="2523490" cy="2178685"/>
            <wp:effectExtent l="0" t="0" r="0" b="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6"/>
                    <a:stretch>
                      <a:fillRect/>
                    </a:stretch>
                  </pic:blipFill>
                  <pic:spPr>
                    <a:xfrm>
                      <a:off x="0" y="0"/>
                      <a:ext cx="2523490" cy="2178685"/>
                    </a:xfrm>
                    <a:prstGeom prst="rect">
                      <a:avLst/>
                    </a:prstGeom>
                  </pic:spPr>
                </pic:pic>
              </a:graphicData>
            </a:graphic>
          </wp:inline>
        </w:drawing>
      </w:r>
    </w:p>
    <w:p>
      <w:pPr>
        <w:pStyle w:val="34"/>
        <w:jc w:val="center"/>
        <w:rPr>
          <w:rFonts w:ascii="微软雅黑" w:hAnsi="微软雅黑"/>
        </w:rPr>
      </w:pPr>
    </w:p>
    <w:p>
      <w:pPr>
        <w:pStyle w:val="34"/>
        <w:jc w:val="both"/>
        <w:rPr>
          <w:rFonts w:ascii="微软雅黑" w:hAnsi="微软雅黑"/>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数模双备份线路设计，具备6芯数字会议系统接口及模拟会议话筒3芯卡侬接口，两接口可同时使用，也可各自单独使用，其中一线路出现故障，另一路可无间断继续工作。</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数字线路特点：</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采用全数字会议技术，符合IEC60914国际标准；</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数字线路为无源电路低功耗设计，由会议主机提供24V电源；</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单路可连接25台会议单元(建议6芯线每路连接20台单台)，通过扩展主机整个会议系统的容量可达51200台；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简洁稳重的台面式抗静电功能设计，符合人体工程学，极具有现代科技感；</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采用航空级别铝镁合金材质，经18道工序打磨而成；；</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采用数字音频处理技术，频率响应可达40HZ-20KHZ，接近CD音质效果；</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咪杆接头及所有螺柱均采用纯铜材质，还原音质，保证质量稳定性</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系统采用ID寻址方式，会议管理软件或会议主机对单元定义ID编号，避免ID编号重复；</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采用数字强抗干扰技术，确保使用数字线路接口，会场内设备不受手机、蓝牙、无线电、WiF等信号干扰；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自带1.5米线缆，在末端数字接口线缆与模拟接口线缆各自分开，数字线路不会对模拟线路产生干扰；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数字连接线缆从背面引出，移动位置方便，桌面整洁；</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采用先进的静电隔离技术设计，即使在干燥的环境和地区使用数字线路接口，也可以避免产生静电；</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具备线路带电“热插拔”功能，让系统的安全性得到更大的保证；</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内置高通滤波器功能，方便在需要时切除声音中的低频成分；</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采用专业无声机械按键，让会议宁静、安心专注。</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模拟线路特点</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符合IEC60914国际标准；</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模拟线路接口为3芯卡侬无源电路低功耗设计，支持48V幻象供电；</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也可直接连接到调音台上，由调音台进行幻象供电；</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3芯卡侬模拟接口供电。</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驻极体超心形指向性麦克风，确保拾音距离及声音质量，拾音距离可达50cm </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模拟线路采用音频无压缩设计，频率响应可达40HZ-20KHZ；</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自带1.5米线缆(可根据现场需要定制线的长度)；在末端数字接口线缆与模拟接口线缆各自分开，模拟线路不会对数字线路产生干扰；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模拟线路接口连接线从背面引出，移动位置方便，桌面整洁；</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内置带通滤波器功能，能有效滤除音频成分外噪声。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手机、蓝牙、WiF不会对使用模拟线路干扰；</w:t>
      </w:r>
    </w:p>
    <w:p>
      <w:pPr>
        <w:keepNext w:val="0"/>
        <w:keepLines w:val="0"/>
        <w:pageBreakBefore w:val="0"/>
        <w:widowControl w:val="0"/>
        <w:numPr>
          <w:ilvl w:val="0"/>
          <w:numId w:val="2"/>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在干燥的环境和地区使用模拟线路，不会产生静电干扰。麦克风类型：心形指向性驻极体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微软雅黑" w:hAnsi="微软雅黑" w:eastAsia="微软雅黑" w:cs="微软雅黑"/>
          <w:kern w:val="2"/>
          <w:sz w:val="24"/>
          <w:szCs w:val="24"/>
          <w:lang w:val="en-US" w:eastAsia="zh-CN" w:bidi="ar-SA"/>
        </w:rPr>
      </w:pP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可插拔式话筒杆，内置14MM镀金拾音头；</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支持双备份设计，可支持手拉手会议与48V幻象供电双系统音频信号同时输出；</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底座优质全铝合金CNC精雕加工一体成型，表面无接缝、无螺丝孔，具备防水防尘功能，防止开会过程中茶水泼溅影响设备正常使用；</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采用专业电容式触摸感应按键，开关时无机械按键声；</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具备智能音频检测功能，当相邻两台单元距离靠近时，音频自动反相衰减保证不出现啸叫；（提供样机现场演示）</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具备≥七种会议模式，包括先进先出、数量限制模式、主席允许(申请发言)、声控启动、限时发言、排队发言、自由讨论等模式；</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代表单元发言人数限制不少于6个，主席和VIP不受数量限制，自由讨论模式发言人数不受限制，可以全部打开；</w:t>
      </w:r>
    </w:p>
    <w:p>
      <w:pPr>
        <w:keepNext w:val="0"/>
        <w:keepLines w:val="0"/>
        <w:pageBreakBefore w:val="0"/>
        <w:widowControl w:val="0"/>
        <w:numPr>
          <w:ilvl w:val="0"/>
          <w:numId w:val="3"/>
        </w:numPr>
        <w:kinsoku/>
        <w:wordWrap/>
        <w:overflowPunct/>
        <w:topLinePunct w:val="0"/>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具备在线设置与修改单元身份，主席单元、VIP单元、代表单元身份可根据需求重新分配与设置；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微软雅黑" w:hAnsi="微软雅黑" w:eastAsia="微软雅黑" w:cs="微软雅黑"/>
          <w:kern w:val="2"/>
          <w:sz w:val="24"/>
          <w:szCs w:val="24"/>
          <w:lang w:val="en-US" w:eastAsia="zh-CN" w:bidi="ar-SA"/>
        </w:r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440" w:lineRule="exact"/>
        <w:ind w:left="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产品参数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0"/>
        <w:gridCol w:w="4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sz w:val="20"/>
                <w:szCs w:val="20"/>
                <w:highlight w:val="none"/>
                <w:lang w:eastAsia="zh-Hans"/>
              </w:rPr>
            </w:pPr>
            <w:r>
              <w:rPr>
                <w:rFonts w:hint="eastAsia" w:ascii="宋体" w:hAnsi="宋体" w:eastAsia="宋体" w:cs="宋体"/>
                <w:lang w:val="en-US" w:eastAsia="zh-CN"/>
              </w:rPr>
              <w:t xml:space="preserve">     </w:t>
            </w:r>
            <w:r>
              <w:rPr>
                <w:rFonts w:hint="eastAsia" w:ascii="宋体" w:hAnsi="宋体" w:eastAsia="宋体" w:cs="宋体"/>
              </w:rPr>
              <w:t>频率响应</w:t>
            </w:r>
          </w:p>
        </w:tc>
        <w:tc>
          <w:tcPr>
            <w:tcW w:w="4699" w:type="dxa"/>
            <w:vAlign w:val="center"/>
          </w:tcPr>
          <w:p>
            <w:pPr>
              <w:numPr>
                <w:ilvl w:val="0"/>
                <w:numId w:val="0"/>
              </w:numPr>
              <w:ind w:leftChars="0" w:right="0" w:rightChars="0"/>
              <w:jc w:val="center"/>
              <w:rPr>
                <w:rFonts w:hint="eastAsia" w:ascii="宋体" w:hAnsi="宋体" w:eastAsia="宋体" w:cs="宋体"/>
                <w:sz w:val="20"/>
                <w:szCs w:val="20"/>
                <w:highlight w:val="none"/>
                <w:lang w:val="en-US" w:eastAsia="zh-Hans"/>
              </w:rPr>
            </w:pPr>
            <w:r>
              <w:rPr>
                <w:rFonts w:hint="eastAsia" w:ascii="宋体" w:hAnsi="宋体" w:eastAsia="宋体" w:cs="宋体"/>
              </w:rPr>
              <w:t>30Hz~20KHz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000006"/>
                <w:sz w:val="20"/>
                <w:szCs w:val="20"/>
                <w:highlight w:val="none"/>
                <w:lang w:eastAsia="zh-Hans"/>
              </w:rPr>
            </w:pPr>
            <w:r>
              <w:rPr>
                <w:rFonts w:hint="eastAsia" w:ascii="宋体" w:hAnsi="宋体" w:eastAsia="宋体" w:cs="宋体"/>
                <w:lang w:val="en-US" w:eastAsia="zh-CN"/>
              </w:rPr>
              <w:t xml:space="preserve">    </w:t>
            </w:r>
            <w:r>
              <w:rPr>
                <w:rFonts w:hint="eastAsia" w:ascii="宋体" w:hAnsi="宋体" w:eastAsia="宋体" w:cs="宋体"/>
              </w:rPr>
              <w:t>信噪比</w:t>
            </w:r>
          </w:p>
        </w:tc>
        <w:tc>
          <w:tcPr>
            <w:tcW w:w="4699" w:type="dxa"/>
            <w:vAlign w:val="center"/>
          </w:tcPr>
          <w:p>
            <w:pPr>
              <w:numPr>
                <w:ilvl w:val="0"/>
                <w:numId w:val="0"/>
              </w:numPr>
              <w:ind w:leftChars="0" w:right="0" w:rightChars="0"/>
              <w:jc w:val="center"/>
              <w:rPr>
                <w:rFonts w:hint="eastAsia" w:ascii="宋体" w:hAnsi="宋体" w:eastAsia="宋体" w:cs="宋体"/>
                <w:sz w:val="20"/>
                <w:szCs w:val="20"/>
                <w:highlight w:val="none"/>
                <w:lang w:val="en-US" w:eastAsia="zh-Hans"/>
              </w:rPr>
            </w:pPr>
            <w:r>
              <w:rPr>
                <w:rFonts w:hint="eastAsia" w:ascii="宋体" w:hAnsi="宋体" w:eastAsia="宋体" w:cs="宋体"/>
              </w:rPr>
              <w:t>&gt;90dB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260" w:type="dxa"/>
            <w:vAlign w:val="center"/>
          </w:tcPr>
          <w:p>
            <w:pPr>
              <w:numPr>
                <w:ilvl w:val="0"/>
                <w:numId w:val="0"/>
              </w:numPr>
              <w:spacing w:line="250" w:lineRule="exact"/>
              <w:ind w:leftChars="0" w:right="738" w:rightChars="0"/>
              <w:jc w:val="center"/>
              <w:rPr>
                <w:rFonts w:hint="eastAsia" w:ascii="宋体" w:hAnsi="宋体" w:eastAsia="宋体" w:cs="宋体"/>
                <w:sz w:val="20"/>
                <w:szCs w:val="20"/>
                <w:highlight w:val="none"/>
              </w:rPr>
            </w:pPr>
            <w:r>
              <w:rPr>
                <w:rFonts w:hint="eastAsia" w:ascii="宋体" w:hAnsi="宋体" w:eastAsia="宋体" w:cs="宋体"/>
                <w:lang w:val="en-US" w:eastAsia="zh-CN"/>
              </w:rPr>
              <w:t xml:space="preserve">   </w:t>
            </w:r>
            <w:r>
              <w:rPr>
                <w:rFonts w:hint="eastAsia" w:ascii="宋体" w:hAnsi="宋体" w:eastAsia="宋体" w:cs="宋体"/>
              </w:rPr>
              <w:t>动态范围</w:t>
            </w:r>
          </w:p>
        </w:tc>
        <w:tc>
          <w:tcPr>
            <w:tcW w:w="4699" w:type="dxa"/>
            <w:vAlign w:val="center"/>
          </w:tcPr>
          <w:p>
            <w:pPr>
              <w:numPr>
                <w:ilvl w:val="0"/>
                <w:numId w:val="0"/>
              </w:numPr>
              <w:spacing w:line="250"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96dB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260" w:type="dxa"/>
            <w:vAlign w:val="center"/>
          </w:tcPr>
          <w:p>
            <w:pPr>
              <w:numPr>
                <w:ilvl w:val="0"/>
                <w:numId w:val="0"/>
              </w:numPr>
              <w:spacing w:line="250" w:lineRule="exact"/>
              <w:ind w:leftChars="0" w:right="738" w:rightChars="0"/>
              <w:jc w:val="center"/>
              <w:rPr>
                <w:rFonts w:hint="eastAsia" w:ascii="宋体" w:hAnsi="宋体" w:eastAsia="宋体" w:cs="宋体"/>
                <w:sz w:val="20"/>
                <w:szCs w:val="20"/>
                <w:highlight w:val="none"/>
                <w:lang w:val="en-US" w:eastAsia="zh-Hans"/>
              </w:rPr>
            </w:pPr>
            <w:r>
              <w:rPr>
                <w:rFonts w:hint="eastAsia" w:ascii="宋体" w:hAnsi="宋体" w:eastAsia="宋体" w:cs="宋体"/>
                <w:lang w:val="en-US" w:eastAsia="zh-CN"/>
              </w:rPr>
              <w:t xml:space="preserve">    </w:t>
            </w:r>
            <w:r>
              <w:rPr>
                <w:rFonts w:hint="eastAsia" w:ascii="宋体" w:hAnsi="宋体" w:eastAsia="宋体" w:cs="宋体"/>
              </w:rPr>
              <w:t>总谐波失真</w:t>
            </w:r>
          </w:p>
        </w:tc>
        <w:tc>
          <w:tcPr>
            <w:tcW w:w="4699" w:type="dxa"/>
            <w:vAlign w:val="center"/>
          </w:tcPr>
          <w:p>
            <w:pPr>
              <w:numPr>
                <w:ilvl w:val="0"/>
                <w:numId w:val="0"/>
              </w:numPr>
              <w:spacing w:line="250"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&lt; 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right="0" w:rightChars="0" w:firstLine="840" w:firstLineChars="400"/>
              <w:jc w:val="both"/>
              <w:rPr>
                <w:rFonts w:hint="eastAsia" w:ascii="宋体" w:hAnsi="宋体" w:eastAsia="宋体" w:cs="宋体"/>
                <w:sz w:val="20"/>
                <w:szCs w:val="20"/>
                <w:highlight w:val="none"/>
                <w:lang w:val="en-US" w:eastAsia="zh-Hans"/>
              </w:rPr>
            </w:pPr>
            <w:r>
              <w:rPr>
                <w:rFonts w:hint="eastAsia" w:ascii="宋体" w:hAnsi="宋体" w:eastAsia="宋体" w:cs="宋体"/>
              </w:rPr>
              <w:t>麦克风灵敏度</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-37dB±2dB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lang w:val="en-US" w:eastAsia="zh-Hans"/>
              </w:rPr>
            </w:pPr>
            <w:r>
              <w:rPr>
                <w:rFonts w:hint="eastAsia" w:ascii="宋体" w:hAnsi="宋体" w:eastAsia="宋体" w:cs="宋体"/>
              </w:rPr>
              <w:t>工作电压</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24V DC±5％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lang w:val="en-US" w:eastAsia="zh-Hans"/>
              </w:rPr>
            </w:pPr>
            <w:r>
              <w:rPr>
                <w:rFonts w:hint="eastAsia" w:ascii="宋体" w:hAnsi="宋体" w:eastAsia="宋体" w:cs="宋体"/>
              </w:rPr>
              <w:t>工作电流</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80mA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lang w:val="en-US" w:eastAsia="zh-Hans"/>
              </w:rPr>
            </w:pPr>
            <w:r>
              <w:rPr>
                <w:rFonts w:hint="eastAsia" w:ascii="宋体" w:hAnsi="宋体" w:eastAsia="宋体" w:cs="宋体"/>
              </w:rPr>
              <w:t>连接方式</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T型头、环形手拉手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连接头</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大8芯（或网口）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单元开启数量</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1/2/3/4/5/6/7/8/9或所有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编号功能</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可自定义ID编号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单元功耗</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lang w:val="en-US"/>
              </w:rPr>
            </w:pPr>
            <w:r>
              <w:rPr>
                <w:rFonts w:hint="eastAsia" w:ascii="宋体" w:hAnsi="宋体" w:eastAsia="宋体" w:cs="宋体"/>
              </w:rPr>
              <w:t>2W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等效噪声</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20dBA  (SPL)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最大声压级</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rPr>
            </w:pPr>
            <w:r>
              <w:rPr>
                <w:rFonts w:hint="eastAsia" w:ascii="宋体" w:hAnsi="宋体" w:eastAsia="宋体" w:cs="宋体"/>
              </w:rPr>
              <w:t>125dB （THD&lt;3%）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3260" w:type="dxa"/>
            <w:vAlign w:val="center"/>
          </w:tcPr>
          <w:p>
            <w:pPr>
              <w:numPr>
                <w:ilvl w:val="0"/>
                <w:numId w:val="0"/>
              </w:numPr>
              <w:ind w:leftChars="0" w:right="0" w:rightChars="0"/>
              <w:jc w:val="center"/>
              <w:rPr>
                <w:rFonts w:hint="eastAsia" w:ascii="宋体" w:hAnsi="宋体" w:eastAsia="宋体" w:cs="宋体"/>
                <w:sz w:val="20"/>
                <w:szCs w:val="20"/>
                <w:highlight w:val="none"/>
              </w:rPr>
            </w:pPr>
            <w:r>
              <w:rPr>
                <w:rFonts w:hint="eastAsia" w:ascii="宋体" w:hAnsi="宋体" w:eastAsia="宋体" w:cs="宋体"/>
              </w:rPr>
              <w:t>话筒杆长度</w:t>
            </w:r>
          </w:p>
        </w:tc>
        <w:tc>
          <w:tcPr>
            <w:tcW w:w="4699" w:type="dxa"/>
            <w:vAlign w:val="center"/>
          </w:tcPr>
          <w:p>
            <w:pPr>
              <w:numPr>
                <w:ilvl w:val="0"/>
                <w:numId w:val="0"/>
              </w:numPr>
              <w:spacing w:before="10" w:line="249" w:lineRule="exact"/>
              <w:ind w:leftChars="0" w:right="0" w:rightChars="0"/>
              <w:jc w:val="center"/>
              <w:rPr>
                <w:rFonts w:hint="eastAsia" w:ascii="宋体" w:hAnsi="宋体" w:eastAsia="宋体" w:cs="宋体"/>
                <w:sz w:val="20"/>
                <w:szCs w:val="20"/>
                <w:highlight w:val="none"/>
                <w:lang w:val="en-US" w:eastAsia="zh-CN"/>
              </w:rPr>
            </w:pPr>
            <w:r>
              <w:rPr>
                <w:rFonts w:hint="eastAsia" w:ascii="宋体" w:hAnsi="宋体" w:eastAsia="宋体" w:cs="宋体"/>
              </w:rPr>
              <w:t>不小于38cm</w:t>
            </w:r>
          </w:p>
        </w:tc>
      </w:tr>
    </w:tbl>
    <w:p>
      <w:pPr>
        <w:rPr>
          <w:rFonts w:hint="eastAsia" w:asciiTheme="minorEastAsia" w:hAnsiTheme="minorEastAsia" w:eastAsiaTheme="minorEastAsia" w:cstheme="minorEastAsia"/>
          <w:sz w:val="20"/>
          <w:szCs w:val="20"/>
          <w:highlight w:val="none"/>
          <w:lang w:val="en-US" w:eastAsia="zh-CN"/>
        </w:rPr>
      </w:pPr>
    </w:p>
    <w:p>
      <w:pPr>
        <w:rPr>
          <w:rFonts w:hint="eastAsia"/>
          <w:sz w:val="20"/>
          <w:szCs w:val="20"/>
          <w:lang w:val="en-US" w:eastAsia="zh-CN"/>
        </w:rPr>
      </w:pPr>
    </w:p>
    <w:p/>
    <w:p/>
    <w:p>
      <w:pPr>
        <w:pStyle w:val="2"/>
      </w:pPr>
    </w:p>
    <w:p>
      <w:pPr>
        <w:pStyle w:val="2"/>
      </w:pPr>
    </w:p>
    <w:p>
      <w:pPr>
        <w:pStyle w:val="2"/>
        <w:rPr>
          <w:rFonts w:hint="eastAsia"/>
          <w:lang w:val="en-US" w:eastAsia="zh-CN"/>
        </w:rPr>
      </w:pPr>
      <w:bookmarkStart w:id="1" w:name="_GoBack"/>
      <w:bookmarkEnd w:id="1"/>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109A"/>
    <w:multiLevelType w:val="multilevel"/>
    <w:tmpl w:val="1F51109A"/>
    <w:lvl w:ilvl="0" w:tentative="0">
      <w:start w:val="1"/>
      <w:numFmt w:val="japaneseCounting"/>
      <w:lvlText w:val="%1、"/>
      <w:lvlJc w:val="left"/>
      <w:pPr>
        <w:ind w:left="3870" w:hanging="510"/>
      </w:pPr>
      <w:rPr>
        <w:rFonts w:hint="default"/>
      </w:rPr>
    </w:lvl>
    <w:lvl w:ilvl="1" w:tentative="0">
      <w:start w:val="4"/>
      <w:numFmt w:val="japaneseCounting"/>
      <w:lvlText w:val="%2、"/>
      <w:lvlJc w:val="left"/>
      <w:pPr>
        <w:ind w:left="4500" w:hanging="720"/>
      </w:pPr>
      <w:rPr>
        <w:rFonts w:hint="default"/>
      </w:r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abstractNum w:abstractNumId="1">
    <w:nsid w:val="612CABF9"/>
    <w:multiLevelType w:val="singleLevel"/>
    <w:tmpl w:val="612CABF9"/>
    <w:lvl w:ilvl="0" w:tentative="0">
      <w:start w:val="1"/>
      <w:numFmt w:val="bullet"/>
      <w:lvlText w:val=""/>
      <w:lvlJc w:val="left"/>
      <w:pPr>
        <w:ind w:left="420" w:leftChars="0" w:hanging="420" w:firstLineChars="0"/>
      </w:pPr>
      <w:rPr>
        <w:rFonts w:hint="default" w:ascii="Wingdings" w:hAnsi="Wingdings"/>
      </w:rPr>
    </w:lvl>
  </w:abstractNum>
  <w:abstractNum w:abstractNumId="2">
    <w:nsid w:val="612CACBA"/>
    <w:multiLevelType w:val="singleLevel"/>
    <w:tmpl w:val="612CACBA"/>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4F16A54"/>
    <w:rsid w:val="15D055B6"/>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A34BB6"/>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C3D0532"/>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77671A1"/>
    <w:rsid w:val="690A736D"/>
    <w:rsid w:val="69586B5E"/>
    <w:rsid w:val="6C044D7B"/>
    <w:rsid w:val="6DE035C6"/>
    <w:rsid w:val="6E680AEE"/>
    <w:rsid w:val="6EAD133E"/>
    <w:rsid w:val="6F142AB7"/>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1991</Words>
  <Characters>2152</Characters>
  <Lines>6</Lines>
  <Paragraphs>1</Paragraphs>
  <TotalTime>3</TotalTime>
  <ScaleCrop>false</ScaleCrop>
  <LinksUpToDate>false</LinksUpToDate>
  <CharactersWithSpaces>2222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2022-12-14T02:42:42Z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C6AA04B11A444A04ACA36177DA5C1AED</vt:lpwstr>
  </property>
</Properties>
</file>