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发言系统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spacing w:line="360" w:lineRule="auto"/>
        <w:ind w:firstLine="2601" w:firstLineChars="500"/>
        <w:jc w:val="left"/>
        <w:rPr>
          <w:rFonts w:hint="default" w:ascii="微软雅黑" w:hAnsi="微软雅黑" w:eastAsia="微软雅黑"/>
          <w:b/>
          <w:sz w:val="52"/>
          <w:szCs w:val="52"/>
          <w:lang w:val="en-US" w:eastAsia="zh-CN"/>
        </w:rPr>
      </w:pPr>
      <w:bookmarkStart w:id="1" w:name="_GoBack"/>
      <w:bookmarkEnd w:id="1"/>
      <w:r>
        <w:rPr>
          <w:rFonts w:hint="eastAsia" w:ascii="微软雅黑" w:hAnsi="微软雅黑" w:eastAsia="微软雅黑"/>
          <w:b/>
          <w:sz w:val="52"/>
          <w:szCs w:val="52"/>
          <w:lang w:val="en-US" w:eastAsia="zh-CN"/>
        </w:rPr>
        <w:t>智能双备份主席单元</w:t>
      </w:r>
    </w:p>
    <w:p>
      <w:pPr>
        <w:spacing w:line="360" w:lineRule="auto"/>
        <w:ind w:firstLine="3960" w:firstLineChars="11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DM-200C/S</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w:t>
      </w:r>
      <w:r>
        <w:rPr>
          <w:rFonts w:hint="eastAsia" w:ascii="微软雅黑" w:hAnsi="微软雅黑" w:eastAsia="微软雅黑" w:cs="微软雅黑"/>
          <w:sz w:val="24"/>
          <w:szCs w:val="24"/>
          <w:highlight w:val="none"/>
        </w:rPr>
        <w:t>有限公司</w:t>
      </w:r>
      <w:r>
        <w:rPr>
          <w:rFonts w:hint="eastAsia" w:ascii="微软雅黑" w:hAnsi="微软雅黑" w:eastAsia="微软雅黑" w:cs="微软雅黑"/>
          <w:sz w:val="24"/>
          <w:szCs w:val="24"/>
          <w:highlight w:val="none"/>
          <w:lang w:val="en-US" w:eastAsia="zh-CN"/>
        </w:rPr>
        <w:t>发言系统系列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r>
        <w:rPr>
          <w:rFonts w:ascii="Arial" w:hAnsi="Arial" w:eastAsia="微软雅黑" w:cs="Arial"/>
          <w:sz w:val="24"/>
          <w:szCs w:val="24"/>
          <w:highlight w:val="none"/>
        </w:rPr>
        <w:t>＊</w:t>
      </w:r>
      <w:r>
        <w:rPr>
          <w:rFonts w:hint="eastAsia" w:ascii="Arial" w:hAnsi="Arial" w:eastAsia="微软雅黑" w:cs="Arial"/>
          <w:sz w:val="24"/>
          <w:szCs w:val="24"/>
          <w:highlight w:val="none"/>
        </w:rPr>
        <w:t>警告：本产品属于A类设备。在居住环境中，运行此设备可能会造成无线电干扰。</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4"/>
        <w:jc w:val="both"/>
        <w:rPr>
          <w:rFonts w:ascii="微软雅黑" w:hAnsi="微软雅黑"/>
        </w:rPr>
      </w:pPr>
    </w:p>
    <w:p>
      <w:pPr>
        <w:pStyle w:val="34"/>
        <w:jc w:val="both"/>
        <w:rPr>
          <w:rFonts w:ascii="微软雅黑" w:hAnsi="微软雅黑"/>
        </w:rPr>
      </w:pPr>
      <w:r>
        <w:rPr>
          <w:rFonts w:hint="eastAsia"/>
          <w:lang w:val="en-US" w:eastAsia="zh-CN"/>
        </w:rPr>
        <w:t xml:space="preserve">                                   </w:t>
      </w:r>
      <w:r>
        <w:drawing>
          <wp:inline distT="0" distB="0" distL="114300" distR="114300">
            <wp:extent cx="2307590" cy="1863090"/>
            <wp:effectExtent l="0" t="0" r="6985" b="3175"/>
            <wp:docPr id="4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pic:cNvPicPr>
                      <a:picLocks noChangeAspect="1"/>
                    </pic:cNvPicPr>
                  </pic:nvPicPr>
                  <pic:blipFill>
                    <a:blip r:embed="rId6"/>
                    <a:stretch>
                      <a:fillRect/>
                    </a:stretch>
                  </pic:blipFill>
                  <pic:spPr>
                    <a:xfrm>
                      <a:off x="0" y="0"/>
                      <a:ext cx="2307590" cy="1863090"/>
                    </a:xfrm>
                    <a:prstGeom prst="rect">
                      <a:avLst/>
                    </a:prstGeom>
                  </pic:spPr>
                </pic:pic>
              </a:graphicData>
            </a:graphic>
          </wp:inline>
        </w:drawing>
      </w:r>
    </w:p>
    <w:p>
      <w:pPr>
        <w:pStyle w:val="34"/>
        <w:jc w:val="center"/>
        <w:rPr>
          <w:rFonts w:ascii="微软雅黑" w:hAnsi="微软雅黑"/>
        </w:rPr>
      </w:pPr>
    </w:p>
    <w:p>
      <w:pPr>
        <w:pStyle w:val="34"/>
        <w:jc w:val="center"/>
        <w:rPr>
          <w:rFonts w:ascii="微软雅黑" w:hAnsi="微软雅黑"/>
        </w:rPr>
      </w:pPr>
    </w:p>
    <w:p>
      <w:pPr>
        <w:pStyle w:val="34"/>
        <w:jc w:val="both"/>
        <w:rPr>
          <w:rFonts w:ascii="微软雅黑" w:hAnsi="微软雅黑"/>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数模双备份线路设计，具备6芯数字会议系统接口及模拟会议话筒3芯卡侬接口，两接口可同时使用，也可各自单独使用，其中一线路出现故障，另一路可无间断继续工作。</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数字线路特点：</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采用全数字会议技术，符合IEC60914国际标准；</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数字线路为无源电路低功耗设计，由会议主机提供24V电源；</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单路可连接25台会议单元(建议6芯线每路连接20台单台)，通过扩展主机整个会议系统的容量可达51200台；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简洁稳重的台面式抗静电功能设计，符合人体工程学，极具有现代科技感；</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全金属方形话筒杆，内置金属膜防震拾音头，不仅有极好的超指向性，而且可最大限度减少桌面震动而产生的噪音；</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采用数字音频处理技术，频率响应可达40HZ-20KHZ，接近CD音质效果；</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话筒杆带有指示灯，可显示正在发言、设置视频、未编ID号、表决按键提示等状态信息；</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系统采用ID寻址方式，会议管理软件或会议主机对单元定义ID编号，避免ID编号重复；</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采用数字强抗干扰技术，确保使用数字线路接口，会场内设备不受手机、蓝牙、无线电、WiF等信号干扰；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自带1.5米线缆，在末端数字接口线缆与模拟接口线缆各自分开，数字线路不会对模拟线路产生干扰；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数字连接线缆从背面引出，移动位置方便，桌面整洁；</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采用先进的静电隔离技术设计，即使在干燥的环境和地区使用数字线路接口，也可以避免产生静电；</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具备线路带电“热插拔”功能，让系统的安全性得到更大的保证；</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内置高通滤波器功能，方便在需要时切除声音中的低频成分；</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采用专业无声机械按键，让会议宁静、安心专注。</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模拟线路特点</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符合IEC60914国际标准；</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模拟线路接口为3芯卡侬无源电路低功耗设计，支持48V幻象供电；</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也可直接连接到调音台上，由调音台进行幻象供电；</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3芯卡侬模拟接口供电触摸显示屏不发光。</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全金属方形话筒杆，内置金属膜防震拾音头，不仅有极好的超指向性，而且可最大限度减小因桌面震动而产生的噪音；</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模拟线路采用音频无压缩设计，频率响应可达40HZ-20KHZ；</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自带1.5米线缆(可根据现场需要定制线的长度)；在末端数字接口线缆与模拟接口线缆各自分开，模拟线路不会对数字线路产生干扰；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模拟线路接口连接线从背面引出，移动位置方便，桌面整洁；</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内置带通滤波器功能，能有效滤除音频成分外噪声。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手机、蓝牙、WiF不会对使用模拟线路干扰；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在干燥的环境和地区使用模拟线路，不会产生静电干扰麦克风类型：心形指向性驻极体，14mm镀金咪芯</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113" w:rightChars="0"/>
        <w:jc w:val="left"/>
        <w:textAlignment w:val="auto"/>
        <w:rPr>
          <w:rFonts w:hint="eastAsia" w:ascii="微软雅黑" w:hAnsi="微软雅黑" w:eastAsia="微软雅黑" w:cs="微软雅黑"/>
          <w:sz w:val="24"/>
          <w:szCs w:val="24"/>
        </w:rPr>
      </w:pP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锌铝合金话筒杆，内置双振膜高保真拾音头，仰俯角度可调，内置14MM镀金拾音头；</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底座优质全铝合金CNC精雕加工一体成型，表面无接缝、无螺丝孔，具备防水防尘功能，防止开会过程中茶水泼溅影响设备正常使用；</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支持双备份设计，可支持手拉手会议与48V幻象供电双系统音频信号同时输出；</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采用专业电容式触摸感应按键，开关时无机械按键声；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咪杆装备16002个直径0.4mm高密度声干孔，且密度小于液体，在提高了信噪比的同时还能有效防止液体渗入；</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具备智能音频检测功能，当相邻两台单元距离靠近时，音频自动反相衰减保证不出现啸叫；（提供样机现场演示）</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具备≥七种会议模式，包括先进先出、数量限制模式、主席允许(申请发言)、声控启动、限时发言、排队发言、自由讨论等模式；</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代表单元发言人数限制不少于6个，主席和VIP不受数量限制，自由讨论模式发言人数不受限制，可以全部打开；</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具备在线设置与修改单元身份，主席单元、VIP单元、代表单元身份可根据需求重新分配与设置；                           </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驻极体超心形指向性麦克风，确保拾音距离及声音质量，拾音距离可达60cm；</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440" w:lineRule="exact"/>
        <w:ind w:left="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产品参数</w:t>
      </w: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60"/>
        <w:gridCol w:w="4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3260" w:type="dxa"/>
            <w:vAlign w:val="center"/>
          </w:tcPr>
          <w:p>
            <w:pPr>
              <w:numPr>
                <w:ilvl w:val="0"/>
                <w:numId w:val="0"/>
              </w:numPr>
              <w:spacing w:before="42" w:line="240" w:lineRule="auto"/>
              <w:ind w:leftChars="0" w:right="738" w:rightChars="0"/>
              <w:jc w:val="center"/>
              <w:rPr>
                <w:rFonts w:hint="eastAsia" w:ascii="宋体" w:hAnsi="宋体" w:eastAsia="宋体" w:cs="宋体"/>
                <w:sz w:val="20"/>
                <w:szCs w:val="20"/>
                <w:lang w:eastAsia="zh-Hans"/>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频率响应</w:t>
            </w:r>
          </w:p>
        </w:tc>
        <w:tc>
          <w:tcPr>
            <w:tcW w:w="4699" w:type="dxa"/>
            <w:vAlign w:val="center"/>
          </w:tcPr>
          <w:p>
            <w:pPr>
              <w:numPr>
                <w:ilvl w:val="0"/>
                <w:numId w:val="0"/>
              </w:numPr>
              <w:ind w:leftChars="0" w:right="0" w:rightChars="0"/>
              <w:jc w:val="center"/>
              <w:rPr>
                <w:rFonts w:hint="eastAsia" w:ascii="宋体" w:hAnsi="宋体" w:eastAsia="宋体" w:cs="宋体"/>
                <w:sz w:val="20"/>
                <w:szCs w:val="20"/>
                <w:lang w:val="en-US" w:eastAsia="zh-Hans"/>
              </w:rPr>
            </w:pPr>
            <w:r>
              <w:rPr>
                <w:rFonts w:hint="eastAsia" w:ascii="宋体" w:hAnsi="宋体" w:eastAsia="宋体" w:cs="宋体"/>
                <w:sz w:val="20"/>
                <w:szCs w:val="20"/>
              </w:rPr>
              <w:t>30Hz~20KHz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3260" w:type="dxa"/>
            <w:vAlign w:val="center"/>
          </w:tcPr>
          <w:p>
            <w:pPr>
              <w:numPr>
                <w:ilvl w:val="0"/>
                <w:numId w:val="0"/>
              </w:numPr>
              <w:spacing w:before="42" w:line="240" w:lineRule="auto"/>
              <w:ind w:leftChars="0" w:right="738" w:rightChars="0"/>
              <w:jc w:val="center"/>
              <w:rPr>
                <w:rFonts w:hint="eastAsia" w:ascii="宋体" w:hAnsi="宋体" w:eastAsia="宋体" w:cs="宋体"/>
                <w:color w:val="000006"/>
                <w:sz w:val="20"/>
                <w:szCs w:val="20"/>
                <w:lang w:eastAsia="zh-Hans"/>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信噪比</w:t>
            </w:r>
          </w:p>
        </w:tc>
        <w:tc>
          <w:tcPr>
            <w:tcW w:w="4699" w:type="dxa"/>
            <w:vAlign w:val="center"/>
          </w:tcPr>
          <w:p>
            <w:pPr>
              <w:numPr>
                <w:ilvl w:val="0"/>
                <w:numId w:val="0"/>
              </w:numPr>
              <w:ind w:leftChars="0" w:right="0" w:rightChars="0"/>
              <w:jc w:val="center"/>
              <w:rPr>
                <w:rFonts w:hint="eastAsia" w:ascii="宋体" w:hAnsi="宋体" w:eastAsia="宋体" w:cs="宋体"/>
                <w:sz w:val="20"/>
                <w:szCs w:val="20"/>
                <w:lang w:val="en-US" w:eastAsia="zh-Hans"/>
              </w:rPr>
            </w:pPr>
            <w:r>
              <w:rPr>
                <w:rFonts w:hint="eastAsia" w:ascii="宋体" w:hAnsi="宋体" w:eastAsia="宋体" w:cs="宋体"/>
                <w:sz w:val="20"/>
                <w:szCs w:val="20"/>
              </w:rPr>
              <w:t>&gt;90dB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jc w:val="center"/>
        </w:trPr>
        <w:tc>
          <w:tcPr>
            <w:tcW w:w="3260" w:type="dxa"/>
            <w:vAlign w:val="center"/>
          </w:tcPr>
          <w:p>
            <w:pPr>
              <w:numPr>
                <w:ilvl w:val="0"/>
                <w:numId w:val="0"/>
              </w:numPr>
              <w:spacing w:line="250" w:lineRule="exact"/>
              <w:ind w:leftChars="0" w:right="738" w:rightChars="0"/>
              <w:jc w:val="center"/>
              <w:rPr>
                <w:rFonts w:hint="eastAsia" w:ascii="宋体" w:hAnsi="宋体" w:eastAsia="宋体" w:cs="宋体"/>
                <w:sz w:val="20"/>
                <w:szCs w:val="20"/>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动态范围</w:t>
            </w:r>
          </w:p>
        </w:tc>
        <w:tc>
          <w:tcPr>
            <w:tcW w:w="4699" w:type="dxa"/>
            <w:vAlign w:val="center"/>
          </w:tcPr>
          <w:p>
            <w:pPr>
              <w:numPr>
                <w:ilvl w:val="0"/>
                <w:numId w:val="0"/>
              </w:numPr>
              <w:spacing w:line="250"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96dB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jc w:val="center"/>
        </w:trPr>
        <w:tc>
          <w:tcPr>
            <w:tcW w:w="3260" w:type="dxa"/>
            <w:vAlign w:val="center"/>
          </w:tcPr>
          <w:p>
            <w:pPr>
              <w:numPr>
                <w:ilvl w:val="0"/>
                <w:numId w:val="0"/>
              </w:numPr>
              <w:spacing w:line="250" w:lineRule="exact"/>
              <w:ind w:leftChars="0" w:right="738" w:rightChars="0"/>
              <w:jc w:val="center"/>
              <w:rPr>
                <w:rFonts w:hint="eastAsia" w:ascii="宋体" w:hAnsi="宋体" w:eastAsia="宋体" w:cs="宋体"/>
                <w:sz w:val="20"/>
                <w:szCs w:val="20"/>
                <w:lang w:val="en-US" w:eastAsia="zh-Hans"/>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总谐波失真</w:t>
            </w:r>
          </w:p>
        </w:tc>
        <w:tc>
          <w:tcPr>
            <w:tcW w:w="4699" w:type="dxa"/>
            <w:vAlign w:val="center"/>
          </w:tcPr>
          <w:p>
            <w:pPr>
              <w:numPr>
                <w:ilvl w:val="0"/>
                <w:numId w:val="0"/>
              </w:numPr>
              <w:spacing w:line="250"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&lt; 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firstLine="1000" w:firstLineChars="500"/>
              <w:jc w:val="both"/>
              <w:rPr>
                <w:rFonts w:hint="eastAsia" w:ascii="宋体" w:hAnsi="宋体" w:eastAsia="宋体" w:cs="宋体"/>
                <w:sz w:val="20"/>
                <w:szCs w:val="20"/>
                <w:lang w:val="en-US" w:eastAsia="zh-Hans"/>
              </w:rPr>
            </w:pPr>
            <w:r>
              <w:rPr>
                <w:rFonts w:hint="eastAsia" w:ascii="宋体" w:hAnsi="宋体" w:eastAsia="宋体" w:cs="宋体"/>
                <w:sz w:val="20"/>
                <w:szCs w:val="20"/>
              </w:rPr>
              <w:t>麦克风灵敏度</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-35dB±2dB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lang w:val="en-US" w:eastAsia="zh-Hans"/>
              </w:rPr>
            </w:pPr>
            <w:r>
              <w:rPr>
                <w:rFonts w:hint="eastAsia" w:ascii="宋体" w:hAnsi="宋体" w:eastAsia="宋体" w:cs="宋体"/>
                <w:sz w:val="20"/>
                <w:szCs w:val="20"/>
              </w:rPr>
              <w:t>工作电压</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24V DC±5％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lang w:val="en-US" w:eastAsia="zh-Hans"/>
              </w:rPr>
            </w:pPr>
            <w:r>
              <w:rPr>
                <w:rFonts w:hint="eastAsia" w:ascii="宋体" w:hAnsi="宋体" w:eastAsia="宋体" w:cs="宋体"/>
                <w:sz w:val="20"/>
                <w:szCs w:val="20"/>
              </w:rPr>
              <w:t>工作电流</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80mA ±5％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lang w:val="en-US" w:eastAsia="zh-Hans"/>
              </w:rPr>
            </w:pPr>
            <w:r>
              <w:rPr>
                <w:rFonts w:hint="eastAsia" w:ascii="宋体" w:hAnsi="宋体" w:eastAsia="宋体" w:cs="宋体"/>
                <w:sz w:val="20"/>
                <w:szCs w:val="20"/>
              </w:rPr>
              <w:t>连接方式</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T型头、环形手拉手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连接头</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大8芯（或网口）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单元开启数量</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1/2/3/4/5/6/7/8/9或所有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编号功能</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可自定义ID编号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单元功耗</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lang w:val="en-US"/>
              </w:rPr>
            </w:pPr>
            <w:r>
              <w:rPr>
                <w:rFonts w:hint="eastAsia" w:ascii="宋体" w:hAnsi="宋体" w:eastAsia="宋体" w:cs="宋体"/>
                <w:sz w:val="20"/>
                <w:szCs w:val="20"/>
              </w:rPr>
              <w:t>2W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等效噪声</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20dBA  (SPL)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最大声压级</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136dB （THD&lt;3%）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话筒杆长度</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lang w:val="en-US" w:eastAsia="zh-CN"/>
              </w:rPr>
            </w:pPr>
            <w:r>
              <w:rPr>
                <w:rFonts w:hint="eastAsia" w:ascii="宋体" w:hAnsi="宋体" w:eastAsia="宋体" w:cs="宋体"/>
                <w:sz w:val="20"/>
                <w:szCs w:val="20"/>
              </w:rPr>
              <w:t>不小于21cm</w:t>
            </w:r>
          </w:p>
        </w:tc>
      </w:tr>
    </w:tbl>
    <w:p>
      <w:pPr>
        <w:rPr>
          <w:rFonts w:hint="eastAsia"/>
          <w:sz w:val="20"/>
          <w:szCs w:val="20"/>
          <w:lang w:val="en-US" w:eastAsia="zh-CN"/>
        </w:rPr>
      </w:pPr>
    </w:p>
    <w:p>
      <w:pPr>
        <w:rPr>
          <w:rFonts w:hint="eastAsia"/>
          <w:sz w:val="20"/>
          <w:szCs w:val="20"/>
          <w:lang w:val="en-US" w:eastAsia="zh-CN"/>
        </w:rPr>
      </w:pPr>
    </w:p>
    <w:p/>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1109A"/>
    <w:multiLevelType w:val="multilevel"/>
    <w:tmpl w:val="1F51109A"/>
    <w:lvl w:ilvl="0" w:tentative="0">
      <w:start w:val="1"/>
      <w:numFmt w:val="japaneseCounting"/>
      <w:lvlText w:val="%1、"/>
      <w:lvlJc w:val="left"/>
      <w:pPr>
        <w:ind w:left="3870" w:hanging="510"/>
      </w:pPr>
      <w:rPr>
        <w:rFonts w:hint="default"/>
      </w:rPr>
    </w:lvl>
    <w:lvl w:ilvl="1" w:tentative="0">
      <w:start w:val="4"/>
      <w:numFmt w:val="japaneseCounting"/>
      <w:lvlText w:val="%2、"/>
      <w:lvlJc w:val="left"/>
      <w:pPr>
        <w:ind w:left="4500" w:hanging="720"/>
      </w:pPr>
      <w:rPr>
        <w:rFonts w:hint="default"/>
      </w:rPr>
    </w:lvl>
    <w:lvl w:ilvl="2" w:tentative="0">
      <w:start w:val="1"/>
      <w:numFmt w:val="lowerRoman"/>
      <w:lvlText w:val="%3."/>
      <w:lvlJc w:val="right"/>
      <w:pPr>
        <w:ind w:left="4620" w:hanging="420"/>
      </w:pPr>
    </w:lvl>
    <w:lvl w:ilvl="3" w:tentative="0">
      <w:start w:val="1"/>
      <w:numFmt w:val="decimal"/>
      <w:lvlText w:val="%4."/>
      <w:lvlJc w:val="left"/>
      <w:pPr>
        <w:ind w:left="5040" w:hanging="420"/>
      </w:pPr>
    </w:lvl>
    <w:lvl w:ilvl="4" w:tentative="0">
      <w:start w:val="1"/>
      <w:numFmt w:val="lowerLetter"/>
      <w:lvlText w:val="%5)"/>
      <w:lvlJc w:val="left"/>
      <w:pPr>
        <w:ind w:left="5460" w:hanging="420"/>
      </w:pPr>
    </w:lvl>
    <w:lvl w:ilvl="5" w:tentative="0">
      <w:start w:val="1"/>
      <w:numFmt w:val="lowerRoman"/>
      <w:lvlText w:val="%6."/>
      <w:lvlJc w:val="right"/>
      <w:pPr>
        <w:ind w:left="5880" w:hanging="420"/>
      </w:pPr>
    </w:lvl>
    <w:lvl w:ilvl="6" w:tentative="0">
      <w:start w:val="1"/>
      <w:numFmt w:val="decimal"/>
      <w:lvlText w:val="%7."/>
      <w:lvlJc w:val="left"/>
      <w:pPr>
        <w:ind w:left="6300" w:hanging="420"/>
      </w:pPr>
    </w:lvl>
    <w:lvl w:ilvl="7" w:tentative="0">
      <w:start w:val="1"/>
      <w:numFmt w:val="lowerLetter"/>
      <w:lvlText w:val="%8)"/>
      <w:lvlJc w:val="left"/>
      <w:pPr>
        <w:ind w:left="6720" w:hanging="420"/>
      </w:pPr>
    </w:lvl>
    <w:lvl w:ilvl="8" w:tentative="0">
      <w:start w:val="1"/>
      <w:numFmt w:val="lowerRoman"/>
      <w:lvlText w:val="%9."/>
      <w:lvlJc w:val="right"/>
      <w:pPr>
        <w:ind w:left="7140" w:hanging="420"/>
      </w:pPr>
    </w:lvl>
  </w:abstractNum>
  <w:abstractNum w:abstractNumId="1">
    <w:nsid w:val="51A80EE6"/>
    <w:multiLevelType w:val="singleLevel"/>
    <w:tmpl w:val="51A80EE6"/>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15C7D3D"/>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82693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A34BB6"/>
    <w:rsid w:val="2A6428AE"/>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BB137B4"/>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6F65BF2"/>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2154</Words>
  <Characters>2326</Characters>
  <Lines>6</Lines>
  <Paragraphs>1</Paragraphs>
  <TotalTime>1</TotalTime>
  <ScaleCrop>false</ScaleCrop>
  <LinksUpToDate>false</LinksUpToDate>
  <CharactersWithSpaces>2416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2022-12-20T07:17:27Z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1EC4430246E6455A8D5703D0F3A96C14</vt:lpwstr>
  </property>
</Properties>
</file>