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tLeast"/>
        <w:ind w:firstLine="2161" w:firstLineChars="300"/>
        <w:rPr>
          <w:rFonts w:hint="eastAsia" w:ascii="微软雅黑" w:hAnsi="微软雅黑" w:eastAsia="微软雅黑" w:cs="微软雅黑"/>
          <w:b/>
          <w:bCs/>
          <w:sz w:val="72"/>
          <w:szCs w:val="72"/>
        </w:rPr>
      </w:pPr>
      <w:bookmarkStart w:id="0" w:name="_Hlk120199333"/>
      <w:bookmarkEnd w:id="0"/>
      <w:bookmarkStart w:id="1" w:name="_Hlk34051380"/>
      <w:bookmarkStart w:id="2" w:name="_Hlk119427302"/>
    </w:p>
    <w:p>
      <w:pPr>
        <w:spacing w:line="260" w:lineRule="atLeast"/>
        <w:ind w:firstLine="2161" w:firstLineChars="300"/>
        <w:rPr>
          <w:rFonts w:ascii="微软雅黑" w:hAnsi="微软雅黑" w:eastAsia="微软雅黑" w:cs="微软雅黑"/>
          <w:b/>
          <w:bCs/>
          <w:sz w:val="72"/>
          <w:szCs w:val="72"/>
        </w:rPr>
      </w:pPr>
      <w:r>
        <w:rPr>
          <w:rFonts w:hint="eastAsia" w:ascii="微软雅黑" w:hAnsi="微软雅黑" w:eastAsia="微软雅黑" w:cs="微软雅黑"/>
          <w:b/>
          <w:bCs/>
          <w:sz w:val="72"/>
          <w:szCs w:val="72"/>
        </w:rPr>
        <w:t>LED全彩屏（室内）</w:t>
      </w:r>
    </w:p>
    <w:p>
      <w:pPr>
        <w:pStyle w:val="21"/>
      </w:pP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1"/>
      </w:pPr>
    </w:p>
    <w:p>
      <w:pPr>
        <w:jc w:val="center"/>
      </w:pPr>
      <w:r>
        <w:rPr>
          <w:rFonts w:hint="eastAsia" w:ascii="微软雅黑" w:hAnsi="微软雅黑" w:eastAsia="微软雅黑"/>
          <w:b/>
          <w:sz w:val="52"/>
          <w:szCs w:val="52"/>
        </w:rPr>
        <w:t>LED</w:t>
      </w:r>
      <w:r>
        <w:rPr>
          <w:rFonts w:hint="eastAsia" w:ascii="微软雅黑" w:hAnsi="微软雅黑" w:eastAsia="微软雅黑"/>
          <w:b/>
          <w:sz w:val="52"/>
          <w:szCs w:val="52"/>
          <w:lang w:val="en-US" w:eastAsia="zh-CN"/>
        </w:rPr>
        <w:t>室内</w:t>
      </w:r>
      <w:bookmarkStart w:id="13" w:name="_GoBack"/>
      <w:bookmarkEnd w:id="13"/>
      <w:r>
        <w:rPr>
          <w:rFonts w:hint="eastAsia" w:ascii="微软雅黑" w:hAnsi="微软雅黑" w:eastAsia="微软雅黑"/>
          <w:b/>
          <w:sz w:val="52"/>
          <w:szCs w:val="52"/>
        </w:rPr>
        <w:t>全彩屏</w:t>
      </w:r>
    </w:p>
    <w:p>
      <w:pPr>
        <w:pStyle w:val="21"/>
      </w:pPr>
    </w:p>
    <w:bookmarkEnd w:id="1"/>
    <w:p>
      <w:pPr>
        <w:jc w:val="center"/>
      </w:pPr>
      <w:r>
        <w:rPr>
          <w:rFonts w:hint="eastAsia" w:ascii="微软雅黑" w:hAnsi="微软雅黑" w:eastAsia="微软雅黑"/>
          <w:color w:val="1E1916"/>
          <w:w w:val="110"/>
          <w:sz w:val="36"/>
          <w:szCs w:val="36"/>
        </w:rPr>
        <w:t>D</w:t>
      </w:r>
      <w:r>
        <w:rPr>
          <w:rFonts w:ascii="微软雅黑" w:hAnsi="微软雅黑" w:eastAsia="微软雅黑"/>
          <w:color w:val="1E1916"/>
          <w:w w:val="110"/>
          <w:sz w:val="36"/>
          <w:szCs w:val="36"/>
        </w:rPr>
        <w:t>Y-0.93</w:t>
      </w:r>
    </w:p>
    <w:p>
      <w:pPr>
        <w:pStyle w:val="21"/>
      </w:pPr>
    </w:p>
    <w:p>
      <w:pPr>
        <w:spacing w:line="360" w:lineRule="auto"/>
        <w:jc w:val="center"/>
        <w:rPr>
          <w:rFonts w:ascii="微软雅黑" w:hAnsi="微软雅黑" w:eastAsia="微软雅黑" w:cs="微软雅黑"/>
          <w:sz w:val="36"/>
          <w:szCs w:val="36"/>
          <w:vertAlign w:val="subscript"/>
        </w:rPr>
      </w:pPr>
      <w:r>
        <w:rPr>
          <w:rFonts w:hint="eastAsia" w:ascii="微软雅黑" w:hAnsi="微软雅黑" w:eastAsia="微软雅黑" w:cs="微软雅黑"/>
          <w:sz w:val="36"/>
          <w:szCs w:val="36"/>
          <w:vertAlign w:val="subscript"/>
        </w:rPr>
        <w:t>V</w:t>
      </w:r>
      <w:r>
        <w:rPr>
          <w:rFonts w:ascii="微软雅黑" w:hAnsi="微软雅黑" w:eastAsia="微软雅黑" w:cs="微软雅黑"/>
          <w:sz w:val="36"/>
          <w:szCs w:val="36"/>
          <w:vertAlign w:val="subscript"/>
        </w:rPr>
        <w:t>1.0</w:t>
      </w:r>
    </w:p>
    <w:p>
      <w:pPr>
        <w:pStyle w:val="21"/>
      </w:pPr>
    </w:p>
    <w:p>
      <w:pPr>
        <w:pStyle w:val="21"/>
      </w:pPr>
    </w:p>
    <w:p>
      <w:pPr>
        <w:pStyle w:val="21"/>
      </w:pPr>
    </w:p>
    <w:p>
      <w:pPr>
        <w:tabs>
          <w:tab w:val="left" w:pos="2985"/>
          <w:tab w:val="center" w:pos="5201"/>
        </w:tabs>
        <w:spacing w:line="260" w:lineRule="atLeast"/>
        <w:ind w:firstLine="600" w:firstLineChars="200"/>
        <w:jc w:val="center"/>
        <w:rPr>
          <w:rFonts w:ascii="微软雅黑" w:hAnsi="微软雅黑" w:eastAsia="微软雅黑" w:cs="微软雅黑"/>
          <w:sz w:val="30"/>
          <w:szCs w:val="30"/>
        </w:rPr>
      </w:pPr>
      <w:r>
        <w:rPr>
          <w:rFonts w:hint="eastAsia" w:ascii="微软雅黑" w:hAnsi="微软雅黑" w:eastAsia="微软雅黑" w:cs="微软雅黑"/>
          <w:sz w:val="30"/>
          <w:szCs w:val="30"/>
        </w:rPr>
        <w:t>上海大因多媒体技术有限公司</w:t>
      </w:r>
    </w:p>
    <w:bookmarkEnd w:id="2"/>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w:t>
      </w:r>
      <w:bookmarkStart w:id="3" w:name="_Hlk119483946"/>
      <w:r>
        <w:rPr>
          <w:rFonts w:ascii="微软雅黑" w:hAnsi="微软雅黑" w:eastAsia="微软雅黑" w:cs="微软雅黑"/>
          <w:sz w:val="24"/>
          <w:szCs w:val="24"/>
        </w:rPr>
        <w:t>LED</w:t>
      </w:r>
      <w:bookmarkEnd w:id="3"/>
      <w:r>
        <w:rPr>
          <w:rFonts w:hint="eastAsia" w:ascii="微软雅黑" w:hAnsi="微软雅黑" w:eastAsia="微软雅黑" w:cs="微软雅黑"/>
          <w:sz w:val="24"/>
          <w:szCs w:val="24"/>
        </w:rPr>
        <w:t>全彩屏技术不侵犯任何专利权或其他第三方权利。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spacing w:line="260" w:lineRule="atLeast"/>
        <w:ind w:firstLine="960" w:firstLineChars="200"/>
        <w:jc w:val="center"/>
        <w:rPr>
          <w:rFonts w:ascii="微软雅黑" w:hAnsi="微软雅黑" w:eastAsia="微软雅黑" w:cs="微软雅黑"/>
          <w:sz w:val="48"/>
          <w:vertAlign w:val="subscript"/>
        </w:rPr>
      </w:pPr>
    </w:p>
    <w:p>
      <w:pPr>
        <w:widowControl/>
        <w:jc w:val="left"/>
        <w:rPr>
          <w:rFonts w:ascii="微软雅黑" w:hAnsi="微软雅黑" w:eastAsia="微软雅黑" w:cs="微软雅黑"/>
          <w:sz w:val="48"/>
          <w:vertAlign w:val="subscript"/>
        </w:rPr>
      </w:pPr>
      <w:r>
        <w:rPr>
          <w:rFonts w:ascii="微软雅黑" w:hAnsi="微软雅黑" w:eastAsia="微软雅黑" w:cs="微软雅黑"/>
          <w:sz w:val="48"/>
          <w:vertAlign w:val="subscript"/>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微软雅黑" w:hAnsi="微软雅黑" w:eastAsia="微软雅黑" w:cs="微软雅黑"/>
          <w:sz w:val="44"/>
          <w:szCs w:val="4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spacing w:line="260" w:lineRule="atLeast"/>
        <w:ind w:firstLine="960" w:firstLineChars="200"/>
        <w:jc w:val="center"/>
        <w:rPr>
          <w:rFonts w:ascii="微软雅黑" w:hAnsi="微软雅黑" w:eastAsia="微软雅黑" w:cs="微软雅黑"/>
          <w:sz w:val="48"/>
          <w:vertAlign w:val="subscript"/>
        </w:rPr>
      </w:pPr>
    </w:p>
    <w:p>
      <w:pPr>
        <w:widowControl/>
        <w:jc w:val="left"/>
        <w:rPr>
          <w:rFonts w:ascii="微软雅黑" w:hAnsi="微软雅黑" w:eastAsia="微软雅黑" w:cs="微软雅黑"/>
          <w:sz w:val="48"/>
          <w:vertAlign w:val="subscript"/>
        </w:rPr>
      </w:pPr>
      <w:r>
        <w:rPr>
          <w:rFonts w:ascii="微软雅黑" w:hAnsi="微软雅黑" w:eastAsia="微软雅黑" w:cs="微软雅黑"/>
          <w:sz w:val="48"/>
          <w:vertAlign w:val="subscript"/>
        </w:rPr>
        <w:br w:type="page"/>
      </w:r>
    </w:p>
    <w:p>
      <w:pPr>
        <w:spacing w:line="260" w:lineRule="atLeast"/>
        <w:ind w:firstLine="4400" w:firstLineChars="1000"/>
        <w:rPr>
          <w:rFonts w:ascii="微软雅黑" w:hAnsi="微软雅黑" w:eastAsia="微软雅黑" w:cs="微软雅黑"/>
          <w:sz w:val="44"/>
          <w:szCs w:val="44"/>
        </w:rPr>
      </w:pPr>
      <w:bookmarkStart w:id="4" w:name="_Hlk119427430"/>
      <w:bookmarkStart w:id="5" w:name="_Hlk119427775"/>
      <w:bookmarkStart w:id="6" w:name="_Hlk119428056"/>
      <w:r>
        <w:rPr>
          <w:rFonts w:hint="eastAsia" w:ascii="微软雅黑" w:hAnsi="微软雅黑" w:eastAsia="微软雅黑" w:cs="微软雅黑"/>
          <w:sz w:val="44"/>
          <w:szCs w:val="44"/>
        </w:rPr>
        <w:t>修订记录</w:t>
      </w:r>
    </w:p>
    <w:tbl>
      <w:tblPr>
        <w:tblStyle w:val="9"/>
        <w:tblW w:w="10485" w:type="dxa"/>
        <w:jc w:val="center"/>
        <w:tblLayout w:type="fixed"/>
        <w:tblCellMar>
          <w:top w:w="0" w:type="dxa"/>
          <w:left w:w="0" w:type="dxa"/>
          <w:bottom w:w="0" w:type="dxa"/>
          <w:right w:w="0" w:type="dxa"/>
        </w:tblCellMar>
      </w:tblPr>
      <w:tblGrid>
        <w:gridCol w:w="1473"/>
        <w:gridCol w:w="1884"/>
        <w:gridCol w:w="4718"/>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188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71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rPr>
              <w:t>V</w:t>
            </w:r>
            <w:r>
              <w:rPr>
                <w:rFonts w:ascii="微软雅黑" w:hAnsi="微软雅黑" w:eastAsia="微软雅黑" w:cs="微软雅黑"/>
                <w:color w:val="000000"/>
                <w:sz w:val="24"/>
                <w:szCs w:val="24"/>
              </w:rPr>
              <w:t>1.0</w:t>
            </w: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rPr>
              <w:t>22年11月15日</w:t>
            </w: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4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bookmarkEnd w:id="4"/>
    </w:tbl>
    <w:p>
      <w:pPr>
        <w:pStyle w:val="21"/>
      </w:pPr>
    </w:p>
    <w:bookmarkEnd w:id="5"/>
    <w:p>
      <w:pPr>
        <w:pStyle w:val="21"/>
      </w:pPr>
    </w:p>
    <w:bookmarkEnd w:id="6"/>
    <w:p>
      <w:pPr>
        <w:pStyle w:val="15"/>
        <w:ind w:left="720" w:firstLine="0" w:firstLineChars="0"/>
        <w:rPr>
          <w:rFonts w:ascii="微软雅黑" w:hAnsi="微软雅黑" w:eastAsia="微软雅黑" w:cs="微软雅黑"/>
          <w:b/>
          <w:bCs/>
          <w:sz w:val="32"/>
          <w:szCs w:val="32"/>
        </w:rPr>
      </w:pPr>
    </w:p>
    <w:p>
      <w:pPr>
        <w:widowControl/>
        <w:jc w:val="left"/>
        <w:rPr>
          <w:rFonts w:ascii="微软雅黑" w:hAnsi="微软雅黑" w:eastAsia="微软雅黑" w:cs="微软雅黑"/>
          <w:b/>
          <w:bCs/>
          <w:sz w:val="32"/>
          <w:szCs w:val="32"/>
        </w:rPr>
      </w:pPr>
      <w:r>
        <w:rPr>
          <w:rFonts w:ascii="微软雅黑" w:hAnsi="微软雅黑" w:eastAsia="微软雅黑" w:cs="微软雅黑"/>
          <w:b/>
          <w:bCs/>
          <w:sz w:val="32"/>
          <w:szCs w:val="32"/>
        </w:rPr>
        <w:br w:type="page"/>
      </w:r>
    </w:p>
    <w:p>
      <w:pPr>
        <w:pStyle w:val="15"/>
        <w:numPr>
          <w:ilvl w:val="0"/>
          <w:numId w:val="1"/>
        </w:numPr>
        <w:spacing w:before="312" w:beforeLines="100" w:after="312" w:afterLines="100" w:line="440" w:lineRule="exact"/>
        <w:ind w:firstLineChars="0"/>
        <w:outlineLvl w:val="0"/>
        <w:rPr>
          <w:rFonts w:ascii="微软雅黑" w:hAnsi="微软雅黑" w:eastAsia="微软雅黑" w:cs="微软雅黑"/>
          <w:b/>
          <w:bCs/>
          <w:sz w:val="36"/>
          <w:szCs w:val="36"/>
        </w:rPr>
      </w:pPr>
      <w:r>
        <w:rPr>
          <w:rFonts w:hint="eastAsia" w:ascii="微软雅黑" w:hAnsi="微软雅黑" w:eastAsia="微软雅黑" w:cs="微软雅黑"/>
          <w:b/>
          <w:bCs/>
          <w:sz w:val="36"/>
          <w:szCs w:val="36"/>
        </w:rPr>
        <w:t>产品说明</w:t>
      </w:r>
    </w:p>
    <w:p>
      <w:pPr>
        <w:pStyle w:val="15"/>
        <w:spacing w:before="312" w:beforeLines="100" w:after="312" w:afterLines="100" w:line="440" w:lineRule="exact"/>
        <w:ind w:left="720" w:firstLine="0" w:firstLineChars="0"/>
        <w:outlineLvl w:val="9"/>
        <w:rPr>
          <w:rFonts w:ascii="微软雅黑" w:hAnsi="微软雅黑" w:eastAsia="微软雅黑" w:cs="微软雅黑"/>
          <w:b/>
          <w:bCs/>
          <w:sz w:val="36"/>
          <w:szCs w:val="36"/>
        </w:rPr>
      </w:pPr>
      <w:r>
        <w:drawing>
          <wp:anchor distT="0" distB="0" distL="114300" distR="114300" simplePos="0" relativeHeight="251661312" behindDoc="0" locked="0" layoutInCell="1" allowOverlap="1">
            <wp:simplePos x="0" y="0"/>
            <wp:positionH relativeFrom="column">
              <wp:posOffset>2912745</wp:posOffset>
            </wp:positionH>
            <wp:positionV relativeFrom="paragraph">
              <wp:posOffset>2540</wp:posOffset>
            </wp:positionV>
            <wp:extent cx="3400425" cy="2071370"/>
            <wp:effectExtent l="0" t="0" r="9525"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00425" cy="207137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326390</wp:posOffset>
            </wp:positionH>
            <wp:positionV relativeFrom="paragraph">
              <wp:posOffset>1905</wp:posOffset>
            </wp:positionV>
            <wp:extent cx="2548255" cy="1905000"/>
            <wp:effectExtent l="0" t="0" r="444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48255" cy="1905000"/>
                    </a:xfrm>
                    <a:prstGeom prst="rect">
                      <a:avLst/>
                    </a:prstGeom>
                    <a:noFill/>
                    <a:ln>
                      <a:noFill/>
                    </a:ln>
                  </pic:spPr>
                </pic:pic>
              </a:graphicData>
            </a:graphic>
          </wp:anchor>
        </w:drawing>
      </w:r>
    </w:p>
    <w:p>
      <w:pPr>
        <w:pStyle w:val="15"/>
        <w:ind w:left="720" w:firstLine="3360" w:firstLineChars="1400"/>
        <w:jc w:val="left"/>
        <w:rPr>
          <w:rFonts w:ascii="微软雅黑" w:hAnsi="微软雅黑" w:eastAsia="微软雅黑" w:cs="宋体"/>
          <w:sz w:val="24"/>
          <w:szCs w:val="24"/>
        </w:rPr>
      </w:pPr>
    </w:p>
    <w:p>
      <w:pPr>
        <w:spacing w:line="360" w:lineRule="auto"/>
        <w:rPr>
          <w:rFonts w:ascii="微软雅黑" w:hAnsi="微软雅黑" w:eastAsia="微软雅黑" w:cs="微软雅黑"/>
        </w:rPr>
      </w:pPr>
    </w:p>
    <w:p>
      <w:pPr>
        <w:spacing w:line="360" w:lineRule="auto"/>
        <w:ind w:left="420"/>
        <w:rPr>
          <w:rFonts w:ascii="微软雅黑" w:hAnsi="微软雅黑" w:eastAsia="微软雅黑" w:cs="微软雅黑"/>
        </w:rPr>
      </w:pPr>
    </w:p>
    <w:p>
      <w:pPr>
        <w:spacing w:line="360" w:lineRule="auto"/>
        <w:ind w:left="420"/>
        <w:rPr>
          <w:rFonts w:ascii="微软雅黑" w:hAnsi="微软雅黑" w:eastAsia="微软雅黑" w:cs="微软雅黑"/>
        </w:rPr>
      </w:pPr>
    </w:p>
    <w:p>
      <w:pPr>
        <w:numPr>
          <w:ilvl w:val="0"/>
          <w:numId w:val="2"/>
        </w:numPr>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 xml:space="preserve">采用共阴SMD/Mini四合一技术，RGB </w:t>
      </w:r>
    </w:p>
    <w:p>
      <w:pPr>
        <w:spacing w:line="360" w:lineRule="auto"/>
        <w:ind w:left="420"/>
        <w:rPr>
          <w:rFonts w:ascii="微软雅黑" w:hAnsi="微软雅黑" w:eastAsia="微软雅黑" w:cs="微软雅黑"/>
          <w:sz w:val="24"/>
          <w:szCs w:val="24"/>
        </w:rPr>
      </w:pPr>
      <w:r>
        <w:rPr>
          <w:rFonts w:hint="eastAsia" w:ascii="微软雅黑" w:hAnsi="微软雅黑" w:eastAsia="微软雅黑" w:cs="微软雅黑"/>
          <w:sz w:val="24"/>
          <w:szCs w:val="24"/>
        </w:rPr>
        <w:t>色效果好，色彩表现更艳丽，图像更逼真；</w:t>
      </w:r>
    </w:p>
    <w:p>
      <w:pPr>
        <w:numPr>
          <w:ilvl w:val="0"/>
          <w:numId w:val="2"/>
        </w:numPr>
        <w:spacing w:line="600" w:lineRule="auto"/>
        <w:rPr>
          <w:rFonts w:ascii="微软雅黑" w:hAnsi="微软雅黑" w:eastAsia="微软雅黑" w:cs="微软雅黑"/>
          <w:sz w:val="24"/>
          <w:szCs w:val="24"/>
        </w:rPr>
      </w:pPr>
      <w:r>
        <w:rPr>
          <w:rFonts w:hint="eastAsia" w:ascii="微软雅黑" w:hAnsi="微软雅黑" w:eastAsia="微软雅黑" w:cs="微软雅黑"/>
          <w:sz w:val="24"/>
          <w:szCs w:val="24"/>
        </w:rPr>
        <w:t>产品轻薄设计箱体重量5.8kg、厚度5</w:t>
      </w:r>
      <w:r>
        <w:rPr>
          <w:rFonts w:ascii="微软雅黑" w:hAnsi="微软雅黑" w:eastAsia="微软雅黑" w:cs="微软雅黑"/>
          <w:sz w:val="24"/>
          <w:szCs w:val="24"/>
        </w:rPr>
        <w:t>1</w:t>
      </w:r>
      <w:r>
        <w:rPr>
          <w:rFonts w:hint="eastAsia" w:ascii="微软雅黑" w:hAnsi="微软雅黑" w:eastAsia="微软雅黑" w:cs="微软雅黑"/>
          <w:sz w:val="24"/>
          <w:szCs w:val="24"/>
        </w:rPr>
        <w:t>.</w:t>
      </w:r>
      <w:r>
        <w:rPr>
          <w:rFonts w:ascii="微软雅黑" w:hAnsi="微软雅黑" w:eastAsia="微软雅黑" w:cs="微软雅黑"/>
          <w:sz w:val="24"/>
          <w:szCs w:val="24"/>
        </w:rPr>
        <w:t>5</w:t>
      </w:r>
      <w:r>
        <w:rPr>
          <w:rFonts w:hint="eastAsia" w:ascii="微软雅黑" w:hAnsi="微软雅黑" w:eastAsia="微软雅黑" w:cs="微软雅黑"/>
          <w:sz w:val="24"/>
          <w:szCs w:val="24"/>
        </w:rPr>
        <w:t>mm；</w:t>
      </w:r>
    </w:p>
    <w:p>
      <w:pPr>
        <w:numPr>
          <w:ilvl w:val="0"/>
          <w:numId w:val="2"/>
        </w:numPr>
        <w:spacing w:line="600" w:lineRule="auto"/>
        <w:rPr>
          <w:rFonts w:ascii="微软雅黑" w:hAnsi="微软雅黑" w:eastAsia="微软雅黑" w:cs="微软雅黑"/>
          <w:sz w:val="24"/>
          <w:szCs w:val="24"/>
        </w:rPr>
      </w:pPr>
      <w:r>
        <w:rPr>
          <w:rFonts w:hint="eastAsia" w:ascii="微软雅黑" w:hAnsi="微软雅黑" w:eastAsia="微软雅黑" w:cs="微软雅黑"/>
          <w:sz w:val="24"/>
          <w:szCs w:val="24"/>
        </w:rPr>
        <w:t>屏体占用体积小，箱体重量轻，显示图像细腻逼真；</w:t>
      </w:r>
    </w:p>
    <w:p>
      <w:pPr>
        <w:numPr>
          <w:ilvl w:val="0"/>
          <w:numId w:val="2"/>
        </w:numPr>
        <w:spacing w:line="600" w:lineRule="auto"/>
        <w:rPr>
          <w:rFonts w:ascii="微软雅黑" w:hAnsi="微软雅黑" w:eastAsia="微软雅黑" w:cs="微软雅黑"/>
          <w:sz w:val="24"/>
          <w:szCs w:val="24"/>
        </w:rPr>
      </w:pPr>
      <w:r>
        <w:rPr>
          <w:rFonts w:hint="eastAsia" w:ascii="微软雅黑" w:hAnsi="微软雅黑" w:eastAsia="微软雅黑" w:cs="微软雅黑"/>
          <w:sz w:val="24"/>
          <w:szCs w:val="24"/>
        </w:rPr>
        <w:t>全前维护，支持热插拔，极速维修；</w:t>
      </w:r>
    </w:p>
    <w:p>
      <w:pPr>
        <w:numPr>
          <w:ilvl w:val="0"/>
          <w:numId w:val="2"/>
        </w:numPr>
        <w:spacing w:line="600" w:lineRule="auto"/>
        <w:rPr>
          <w:rFonts w:ascii="微软雅黑" w:hAnsi="微软雅黑" w:eastAsia="微软雅黑" w:cs="微软雅黑"/>
          <w:sz w:val="24"/>
          <w:szCs w:val="24"/>
        </w:rPr>
      </w:pPr>
      <w:r>
        <w:rPr>
          <w:rFonts w:hint="eastAsia" w:ascii="微软雅黑" w:hAnsi="微软雅黑" w:eastAsia="微软雅黑" w:cs="微软雅黑"/>
          <w:color w:val="000000"/>
          <w:sz w:val="24"/>
          <w:szCs w:val="24"/>
        </w:rPr>
        <w:t>16:9标准显示比例设计，支持点对点；</w:t>
      </w:r>
    </w:p>
    <w:p>
      <w:pPr>
        <w:pStyle w:val="15"/>
        <w:numPr>
          <w:ilvl w:val="0"/>
          <w:numId w:val="2"/>
        </w:numPr>
        <w:spacing w:line="600" w:lineRule="auto"/>
        <w:ind w:firstLineChars="0"/>
        <w:rPr>
          <w:rFonts w:ascii="微软雅黑" w:hAnsi="微软雅黑" w:eastAsia="微软雅黑" w:cs="微软雅黑"/>
          <w:sz w:val="24"/>
          <w:szCs w:val="24"/>
        </w:rPr>
      </w:pPr>
      <w:r>
        <w:rPr>
          <w:rFonts w:hint="eastAsia" w:ascii="微软雅黑" w:hAnsi="微软雅黑" w:eastAsia="微软雅黑" w:cs="微软雅黑"/>
          <w:sz w:val="24"/>
          <w:szCs w:val="24"/>
        </w:rPr>
        <w:t>灯板储存校正系数，更换灯板后校正系数自带读；</w:t>
      </w:r>
    </w:p>
    <w:p>
      <w:pPr>
        <w:numPr>
          <w:ilvl w:val="0"/>
          <w:numId w:val="2"/>
        </w:numPr>
        <w:spacing w:line="600" w:lineRule="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每一个屏幕都将成为云拼接中的最基本处理单元，它们各自独立工作而又彼此关联，共同将海量信息呈现在用户眼前。大屏将不再仅是显示终端，而是拥有核心图像处理能力，聚合为一屏即为完整拼接系统，海量视频接收、信号源切换、信号实时显示、多画面漫游缩放等拼接系统必备功能都可在云屏中直接实现，云屏即为完整拼接系统。</w:t>
      </w:r>
    </w:p>
    <w:p>
      <w:pPr>
        <w:pStyle w:val="15"/>
        <w:numPr>
          <w:ilvl w:val="0"/>
          <w:numId w:val="2"/>
        </w:numPr>
        <w:spacing w:line="360" w:lineRule="auto"/>
        <w:ind w:firstLineChars="0"/>
        <w:rPr>
          <w:rFonts w:ascii="微软雅黑" w:hAnsi="微软雅黑" w:eastAsia="微软雅黑" w:cs="宋体"/>
          <w:sz w:val="24"/>
          <w:szCs w:val="24"/>
        </w:rPr>
      </w:pPr>
      <w:r>
        <w:rPr>
          <w:rFonts w:hint="eastAsia" w:ascii="微软雅黑" w:hAnsi="微软雅黑" w:eastAsia="微软雅黑" w:cs="微软雅黑"/>
          <w:sz w:val="24"/>
          <w:szCs w:val="24"/>
          <w:lang w:bidi="en-US"/>
        </w:rPr>
        <w:t>信号连通网络无缝接入云屏，所有信号连接网络即可接入到云屏上，随时随地无缝接入。</w:t>
      </w:r>
    </w:p>
    <w:p>
      <w:pPr>
        <w:numPr>
          <w:ilvl w:val="0"/>
          <w:numId w:val="2"/>
        </w:numPr>
        <w:spacing w:line="600" w:lineRule="auto"/>
        <w:rPr>
          <w:rFonts w:ascii="微软雅黑" w:hAnsi="微软雅黑" w:eastAsia="微软雅黑" w:cs="微软雅黑"/>
          <w:sz w:val="24"/>
          <w:szCs w:val="24"/>
          <w:lang w:bidi="en-US"/>
        </w:rPr>
      </w:pPr>
      <w:bookmarkStart w:id="7" w:name="_Toc16727"/>
      <w:r>
        <w:rPr>
          <w:rFonts w:hint="eastAsia" w:ascii="微软雅黑" w:hAnsi="微软雅黑" w:eastAsia="微软雅黑" w:cs="宋体"/>
          <w:sz w:val="24"/>
          <w:szCs w:val="24"/>
        </w:rPr>
        <w:t>所</w:t>
      </w:r>
      <w:r>
        <w:rPr>
          <w:rFonts w:hint="eastAsia" w:ascii="微软雅黑" w:hAnsi="微软雅黑" w:eastAsia="微软雅黑" w:cs="微软雅黑"/>
          <w:sz w:val="24"/>
          <w:szCs w:val="24"/>
          <w:lang w:bidi="en-US"/>
        </w:rPr>
        <w:t>有的信号都可轻而易举地拼接、控制和管理调度。</w:t>
      </w:r>
    </w:p>
    <w:p>
      <w:pPr>
        <w:numPr>
          <w:ilvl w:val="0"/>
          <w:numId w:val="2"/>
        </w:numPr>
        <w:spacing w:line="600" w:lineRule="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云端可视化管理，通过有线或无线网络接入控制终端，无论是PC或是Pad都可快速实现对云屏系统的管控。只需动动手指，即可轻松掌控全局。实时信号回看让用户时刻了解即时动态，可视化的交互模式提供用户更直观便捷的操作体验。</w:t>
      </w:r>
    </w:p>
    <w:p>
      <w:pPr>
        <w:numPr>
          <w:ilvl w:val="0"/>
          <w:numId w:val="2"/>
        </w:numPr>
        <w:spacing w:line="600" w:lineRule="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LED云屏集传统LED大屏系统中的LED大屏、接收卡、发送卡、视频处理器、拼接器、矩阵等设备于一体，使屏不再仅仅是单一显示单元，而是整个显示系统中数据处理单元。云屏系统与其他分布式系统不同之处在于，是系统架构最简化，用最少的设备满足用户最高的需求。同时还提供更加丰富的应用与服务：海量 网络摄像机信号直接接入、网络音频矩阵、超高分辨率图形显示、三维超高分图形显示、任意信号源录播回放、无线桌面共享、主机远程接管（KVM）、手持式终端画面共享、外围设备控制、交互式图文共享与分发等等。</w:t>
      </w:r>
    </w:p>
    <w:p>
      <w:pPr>
        <w:numPr>
          <w:ilvl w:val="0"/>
          <w:numId w:val="2"/>
        </w:numPr>
        <w:spacing w:line="600" w:lineRule="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具备以下优势：</w:t>
      </w:r>
    </w:p>
    <w:p>
      <w:pPr>
        <w:spacing w:line="600" w:lineRule="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1、大屏与生俱来的图像拼接功能，屏体本身具有分布式拼接系统，系统无需再配置任何拼接器和矩阵设备；</w:t>
      </w:r>
    </w:p>
    <w:p>
      <w:pPr>
        <w:spacing w:line="600" w:lineRule="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2、直接驱动显示面板，完全替代传统驱动板，简化屏体结构；</w:t>
      </w:r>
    </w:p>
    <w:p>
      <w:pPr>
        <w:spacing w:line="600" w:lineRule="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3、双千兆网口输入，链路冗余，规避网络风险；</w:t>
      </w:r>
    </w:p>
    <w:p>
      <w:pPr>
        <w:spacing w:line="600" w:lineRule="auto"/>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4、不借助第三方解码服务器，拼接屏直接支持IP Camera的实时、海量接入，摄像机数量不受限制，单屏解码能力可达到同时输出16路1080P信号，总体解码能力随屏数增多而倍增；</w:t>
      </w:r>
    </w:p>
    <w:p>
      <w:pPr>
        <w:pStyle w:val="15"/>
        <w:numPr>
          <w:ilvl w:val="0"/>
          <w:numId w:val="2"/>
        </w:numPr>
        <w:spacing w:line="360" w:lineRule="auto"/>
        <w:ind w:firstLineChars="0"/>
        <w:rPr>
          <w:rFonts w:ascii="微软雅黑" w:hAnsi="微软雅黑" w:eastAsia="微软雅黑" w:cs="宋体"/>
          <w:sz w:val="24"/>
          <w:szCs w:val="24"/>
        </w:rPr>
      </w:pPr>
      <w:r>
        <w:rPr>
          <w:rFonts w:hint="eastAsia" w:ascii="微软雅黑" w:hAnsi="微软雅黑" w:eastAsia="微软雅黑" w:cs="微软雅黑"/>
          <w:sz w:val="24"/>
          <w:szCs w:val="24"/>
          <w:lang w:bidi="en-US"/>
        </w:rPr>
        <w:t>5、内置协议库已支持国内市场主流品牌IP Camera，可定制支持特殊品牌及型号</w:t>
      </w:r>
    </w:p>
    <w:p>
      <w:pPr>
        <w:pStyle w:val="15"/>
        <w:numPr>
          <w:ilvl w:val="0"/>
          <w:numId w:val="2"/>
        </w:numPr>
        <w:spacing w:line="600" w:lineRule="auto"/>
        <w:ind w:firstLineChars="0"/>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6、除了通过网络接入信号，拼接屏还支持传统接入方式，可直接接入DVI\VGA\HDMI等信号，且信号不限于本屏显示，可在整屏范围内漫游、跨屏、缩放、层叠，无需购置输入节点设备，降低系统总体投资；</w:t>
      </w:r>
    </w:p>
    <w:p>
      <w:pPr>
        <w:pStyle w:val="15"/>
        <w:numPr>
          <w:ilvl w:val="0"/>
          <w:numId w:val="2"/>
        </w:numPr>
        <w:spacing w:line="600" w:lineRule="auto"/>
        <w:ind w:firstLineChars="0"/>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7、模块化设计，采用独立工作ARM+DSP架构，高性能高可靠性；</w:t>
      </w:r>
    </w:p>
    <w:p>
      <w:pPr>
        <w:pStyle w:val="15"/>
        <w:numPr>
          <w:ilvl w:val="0"/>
          <w:numId w:val="2"/>
        </w:numPr>
        <w:spacing w:line="600" w:lineRule="auto"/>
        <w:ind w:firstLineChars="0"/>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8、分布式计算架构，适用于任何规模的拼接系统，处理性能随规模同步增强；</w:t>
      </w:r>
    </w:p>
    <w:p>
      <w:pPr>
        <w:pStyle w:val="15"/>
        <w:numPr>
          <w:ilvl w:val="0"/>
          <w:numId w:val="2"/>
        </w:numPr>
        <w:spacing w:line="600" w:lineRule="auto"/>
        <w:ind w:firstLineChars="0"/>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9、TCP/IP传输，信号传输不受线缆长短及地理位置限制；</w:t>
      </w:r>
    </w:p>
    <w:p>
      <w:pPr>
        <w:pStyle w:val="15"/>
        <w:numPr>
          <w:ilvl w:val="0"/>
          <w:numId w:val="2"/>
        </w:numPr>
        <w:spacing w:line="600" w:lineRule="auto"/>
        <w:ind w:firstLineChars="0"/>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10、支持超高分辨率图像的实时处理与点对点显示；</w:t>
      </w:r>
    </w:p>
    <w:p>
      <w:pPr>
        <w:pStyle w:val="15"/>
        <w:numPr>
          <w:ilvl w:val="0"/>
          <w:numId w:val="2"/>
        </w:numPr>
        <w:spacing w:line="600" w:lineRule="auto"/>
        <w:ind w:firstLineChars="0"/>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11、预留RS-232接口，可根据需要扩展对外围设备控制功能；</w:t>
      </w:r>
    </w:p>
    <w:p>
      <w:pPr>
        <w:pStyle w:val="15"/>
        <w:numPr>
          <w:ilvl w:val="0"/>
          <w:numId w:val="2"/>
        </w:numPr>
        <w:spacing w:line="600" w:lineRule="auto"/>
        <w:ind w:firstLineChars="0"/>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12、具备音频输出接口，可将系统内任一输入节点音频解码输出，实现网络音频矩阵功能；</w:t>
      </w:r>
    </w:p>
    <w:p>
      <w:pPr>
        <w:pStyle w:val="15"/>
        <w:numPr>
          <w:ilvl w:val="0"/>
          <w:numId w:val="2"/>
        </w:numPr>
        <w:spacing w:line="600" w:lineRule="auto"/>
        <w:ind w:firstLineChars="0"/>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13、支持中控、iPad等第三方设备控制；</w:t>
      </w:r>
    </w:p>
    <w:p>
      <w:pPr>
        <w:pStyle w:val="15"/>
        <w:numPr>
          <w:ilvl w:val="0"/>
          <w:numId w:val="2"/>
        </w:numPr>
        <w:spacing w:line="600" w:lineRule="auto"/>
        <w:ind w:firstLineChars="0"/>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14、多组大屏可做到集中管理、信号源共享，同步镜像；</w:t>
      </w:r>
    </w:p>
    <w:p>
      <w:pPr>
        <w:pStyle w:val="15"/>
        <w:numPr>
          <w:ilvl w:val="0"/>
          <w:numId w:val="2"/>
        </w:numPr>
        <w:spacing w:line="600" w:lineRule="auto"/>
        <w:ind w:firstLineChars="0"/>
        <w:rPr>
          <w:rFonts w:ascii="微软雅黑" w:hAnsi="微软雅黑" w:eastAsia="微软雅黑" w:cs="微软雅黑"/>
          <w:sz w:val="24"/>
          <w:szCs w:val="24"/>
          <w:lang w:bidi="en-US"/>
        </w:rPr>
      </w:pPr>
      <w:r>
        <w:rPr>
          <w:rFonts w:hint="eastAsia" w:ascii="微软雅黑" w:hAnsi="微软雅黑" w:eastAsia="微软雅黑" w:cs="微软雅黑"/>
          <w:sz w:val="24"/>
          <w:szCs w:val="24"/>
          <w:lang w:bidi="en-US"/>
        </w:rPr>
        <w:t>15、所有智能云拼接处理器节点可在线网络升级软件，及时提供客户最新功能；</w:t>
      </w:r>
    </w:p>
    <w:p>
      <w:pPr>
        <w:pStyle w:val="15"/>
        <w:numPr>
          <w:ilvl w:val="0"/>
          <w:numId w:val="2"/>
        </w:numPr>
        <w:spacing w:line="600" w:lineRule="auto"/>
        <w:ind w:firstLineChars="0"/>
        <w:rPr>
          <w:rFonts w:ascii="微软雅黑" w:hAnsi="微软雅黑" w:eastAsia="微软雅黑" w:cs="微软雅黑"/>
          <w:lang w:bidi="en-US"/>
        </w:rPr>
      </w:pPr>
      <w:r>
        <w:rPr>
          <w:rFonts w:hint="eastAsia" w:ascii="微软雅黑" w:hAnsi="微软雅黑" w:eastAsia="微软雅黑" w:cs="微软雅黑"/>
          <w:sz w:val="24"/>
          <w:szCs w:val="24"/>
          <w:lang w:bidi="en-US"/>
        </w:rPr>
        <w:t>16、低功耗设计，节能环保，低碳运行</w:t>
      </w:r>
    </w:p>
    <w:p>
      <w:pPr>
        <w:pStyle w:val="15"/>
        <w:numPr>
          <w:ilvl w:val="0"/>
          <w:numId w:val="1"/>
        </w:numPr>
        <w:spacing w:line="360" w:lineRule="auto"/>
        <w:ind w:firstLineChars="0"/>
        <w:outlineLvl w:val="0"/>
        <w:rPr>
          <w:rFonts w:ascii="微软雅黑" w:hAnsi="微软雅黑" w:eastAsia="微软雅黑" w:cs="宋体"/>
          <w:b/>
          <w:bCs/>
          <w:sz w:val="36"/>
          <w:szCs w:val="36"/>
        </w:rPr>
      </w:pPr>
      <w:r>
        <w:rPr>
          <w:rFonts w:hint="eastAsia" w:ascii="微软雅黑" w:hAnsi="微软雅黑" w:eastAsia="微软雅黑" w:cs="宋体"/>
          <w:b/>
          <w:bCs/>
          <w:sz w:val="36"/>
          <w:szCs w:val="36"/>
        </w:rPr>
        <w:t>技术规格表</w:t>
      </w:r>
      <w:bookmarkEnd w:id="7"/>
    </w:p>
    <w:tbl>
      <w:tblPr>
        <w:tblStyle w:val="10"/>
        <w:tblpPr w:leftFromText="180" w:rightFromText="180" w:vertAnchor="text" w:horzAnchor="margin" w:tblpXSpec="center" w:tblpY="643"/>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247"/>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97" w:type="dxa"/>
            <w:gridSpan w:val="2"/>
            <w:shd w:val="clear" w:color="auto" w:fill="2E75B5" w:themeFill="accent1" w:themeFillShade="BF"/>
            <w:vAlign w:val="center"/>
          </w:tcPr>
          <w:p>
            <w:pPr>
              <w:widowControl/>
              <w:spacing w:line="360" w:lineRule="auto"/>
              <w:jc w:val="center"/>
              <w:rPr>
                <w:rFonts w:ascii="宋体" w:hAnsi="宋体" w:eastAsia="宋体" w:cs="宋体"/>
                <w:bCs/>
                <w:sz w:val="20"/>
                <w:szCs w:val="20"/>
              </w:rPr>
            </w:pPr>
            <w:r>
              <w:rPr>
                <w:rFonts w:hint="eastAsia" w:ascii="宋体" w:hAnsi="宋体" w:eastAsia="宋体" w:cs="宋体"/>
                <w:bCs/>
                <w:sz w:val="20"/>
                <w:szCs w:val="20"/>
              </w:rPr>
              <w:t>规格名称</w:t>
            </w:r>
          </w:p>
        </w:tc>
        <w:tc>
          <w:tcPr>
            <w:tcW w:w="4482" w:type="dxa"/>
            <w:shd w:val="clear" w:color="auto" w:fill="2E75B5" w:themeFill="accent1" w:themeFillShade="BF"/>
            <w:vAlign w:val="center"/>
          </w:tcPr>
          <w:p>
            <w:pPr>
              <w:widowControl/>
              <w:spacing w:line="360" w:lineRule="auto"/>
              <w:jc w:val="center"/>
              <w:rPr>
                <w:rFonts w:ascii="宋体" w:hAnsi="宋体" w:eastAsia="宋体" w:cs="宋体"/>
                <w:bCs/>
                <w:sz w:val="20"/>
                <w:szCs w:val="20"/>
              </w:rPr>
            </w:pPr>
            <w:r>
              <w:rPr>
                <w:rFonts w:hint="eastAsia" w:ascii="宋体" w:hAnsi="宋体" w:eastAsia="宋体" w:cs="宋体"/>
                <w:bCs/>
                <w:sz w:val="20"/>
                <w:szCs w:val="20"/>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50" w:type="dxa"/>
            <w:vMerge w:val="restart"/>
            <w:vAlign w:val="center"/>
          </w:tcPr>
          <w:p>
            <w:pPr>
              <w:widowControl/>
              <w:jc w:val="center"/>
              <w:rPr>
                <w:rFonts w:ascii="宋体" w:hAnsi="宋体" w:eastAsia="宋体" w:cs="宋体"/>
                <w:bCs/>
                <w:sz w:val="20"/>
                <w:szCs w:val="20"/>
              </w:rPr>
            </w:pPr>
            <w:r>
              <w:rPr>
                <w:rFonts w:hint="eastAsia" w:ascii="宋体" w:hAnsi="宋体" w:eastAsia="宋体" w:cs="宋体"/>
                <w:bCs/>
                <w:sz w:val="20"/>
                <w:szCs w:val="20"/>
              </w:rPr>
              <w:t>物</w:t>
            </w:r>
          </w:p>
          <w:p>
            <w:pPr>
              <w:widowControl/>
              <w:jc w:val="center"/>
              <w:rPr>
                <w:rFonts w:ascii="宋体" w:hAnsi="宋体" w:eastAsia="宋体" w:cs="宋体"/>
                <w:bCs/>
                <w:sz w:val="20"/>
                <w:szCs w:val="20"/>
              </w:rPr>
            </w:pPr>
            <w:r>
              <w:rPr>
                <w:rFonts w:hint="eastAsia" w:ascii="宋体" w:hAnsi="宋体" w:eastAsia="宋体" w:cs="宋体"/>
                <w:bCs/>
                <w:sz w:val="20"/>
                <w:szCs w:val="20"/>
              </w:rPr>
              <w:t>理</w:t>
            </w:r>
          </w:p>
          <w:p>
            <w:pPr>
              <w:widowControl/>
              <w:jc w:val="center"/>
              <w:rPr>
                <w:rFonts w:ascii="宋体" w:hAnsi="宋体" w:eastAsia="宋体" w:cs="宋体"/>
                <w:bCs/>
                <w:sz w:val="20"/>
                <w:szCs w:val="20"/>
              </w:rPr>
            </w:pPr>
            <w:r>
              <w:rPr>
                <w:rFonts w:hint="eastAsia" w:ascii="宋体" w:hAnsi="宋体" w:eastAsia="宋体" w:cs="宋体"/>
                <w:bCs/>
                <w:sz w:val="20"/>
                <w:szCs w:val="20"/>
              </w:rPr>
              <w:t>参</w:t>
            </w:r>
          </w:p>
          <w:p>
            <w:pPr>
              <w:widowControl/>
              <w:jc w:val="center"/>
              <w:rPr>
                <w:rFonts w:ascii="宋体" w:hAnsi="宋体" w:eastAsia="宋体" w:cs="宋体"/>
                <w:bCs/>
                <w:sz w:val="20"/>
                <w:szCs w:val="20"/>
              </w:rPr>
            </w:pPr>
            <w:r>
              <w:rPr>
                <w:rFonts w:hint="eastAsia" w:ascii="宋体" w:hAnsi="宋体" w:eastAsia="宋体" w:cs="宋体"/>
                <w:bCs/>
                <w:sz w:val="20"/>
                <w:szCs w:val="20"/>
              </w:rPr>
              <w:t>数</w:t>
            </w: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像素构成</w:t>
            </w:r>
          </w:p>
        </w:tc>
        <w:tc>
          <w:tcPr>
            <w:tcW w:w="4482" w:type="dxa"/>
            <w:vAlign w:val="center"/>
          </w:tcPr>
          <w:p>
            <w:pPr>
              <w:pStyle w:val="21"/>
              <w:spacing w:line="360" w:lineRule="auto"/>
              <w:ind w:firstLine="480"/>
              <w:jc w:val="center"/>
              <w:rPr>
                <w:rFonts w:hAnsi="宋体"/>
                <w:bCs/>
                <w:sz w:val="20"/>
                <w:szCs w:val="20"/>
              </w:rPr>
            </w:pPr>
            <w:r>
              <w:rPr>
                <w:rFonts w:hint="eastAsia" w:hAnsi="宋体" w:cs="Arial"/>
                <w:sz w:val="20"/>
                <w:szCs w:val="20"/>
              </w:rPr>
              <w:t>1R1G1B/GOB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像素间距（mm）</w:t>
            </w:r>
          </w:p>
        </w:tc>
        <w:tc>
          <w:tcPr>
            <w:tcW w:w="4482" w:type="dxa"/>
            <w:vAlign w:val="center"/>
          </w:tcPr>
          <w:p>
            <w:pPr>
              <w:pStyle w:val="21"/>
              <w:spacing w:line="360" w:lineRule="auto"/>
              <w:ind w:firstLine="480"/>
              <w:jc w:val="center"/>
              <w:rPr>
                <w:rFonts w:hAnsi="宋体"/>
                <w:bCs/>
                <w:sz w:val="20"/>
                <w:szCs w:val="20"/>
              </w:rPr>
            </w:pPr>
            <w:r>
              <w:rPr>
                <w:rFonts w:hint="eastAsia" w:hAnsi="宋体"/>
                <w:bCs/>
                <w:sz w:val="20"/>
                <w:szCs w:val="20"/>
              </w:rPr>
              <w:t>0.93</w:t>
            </w:r>
            <w:r>
              <w:rPr>
                <w:rFonts w:hAnsi="宋体"/>
                <w:bCs/>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模组分辨率(dots)</w:t>
            </w:r>
          </w:p>
        </w:tc>
        <w:tc>
          <w:tcPr>
            <w:tcW w:w="4482" w:type="dxa"/>
            <w:vAlign w:val="center"/>
          </w:tcPr>
          <w:p>
            <w:pPr>
              <w:pStyle w:val="21"/>
              <w:spacing w:line="360" w:lineRule="auto"/>
              <w:ind w:firstLine="480"/>
              <w:jc w:val="center"/>
              <w:rPr>
                <w:rFonts w:hAnsi="宋体"/>
                <w:bCs/>
                <w:sz w:val="20"/>
                <w:szCs w:val="20"/>
              </w:rPr>
            </w:pPr>
            <w:r>
              <w:rPr>
                <w:rFonts w:hAnsi="宋体"/>
                <w:bCs/>
                <w:sz w:val="20"/>
                <w:szCs w:val="20"/>
              </w:rPr>
              <w:t>3</w:t>
            </w:r>
            <w:r>
              <w:rPr>
                <w:rFonts w:hint="eastAsia" w:hAnsi="宋体"/>
                <w:bCs/>
                <w:sz w:val="20"/>
                <w:szCs w:val="20"/>
              </w:rPr>
              <w:t>20*1</w:t>
            </w:r>
            <w:r>
              <w:rPr>
                <w:rFonts w:hAnsi="宋体"/>
                <w:bCs/>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箱体分辨率(dots)</w:t>
            </w:r>
          </w:p>
        </w:tc>
        <w:tc>
          <w:tcPr>
            <w:tcW w:w="4482" w:type="dxa"/>
            <w:vAlign w:val="center"/>
          </w:tcPr>
          <w:p>
            <w:pPr>
              <w:pStyle w:val="21"/>
              <w:spacing w:line="360" w:lineRule="auto"/>
              <w:ind w:firstLine="480"/>
              <w:jc w:val="center"/>
              <w:rPr>
                <w:rFonts w:hAnsi="宋体"/>
                <w:bCs/>
                <w:sz w:val="20"/>
                <w:szCs w:val="20"/>
              </w:rPr>
            </w:pPr>
            <w:r>
              <w:rPr>
                <w:rFonts w:hint="eastAsia" w:hAnsi="宋体"/>
                <w:bCs/>
                <w:sz w:val="20"/>
                <w:szCs w:val="20"/>
              </w:rPr>
              <w:t>640*360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模组尺寸（长*宽*高）/(mm)</w:t>
            </w:r>
          </w:p>
        </w:tc>
        <w:tc>
          <w:tcPr>
            <w:tcW w:w="4482" w:type="dxa"/>
            <w:vAlign w:val="center"/>
          </w:tcPr>
          <w:p>
            <w:pPr>
              <w:pStyle w:val="21"/>
              <w:spacing w:line="360" w:lineRule="auto"/>
              <w:ind w:firstLine="480"/>
              <w:jc w:val="center"/>
              <w:rPr>
                <w:rFonts w:hAnsi="宋体"/>
                <w:bCs/>
                <w:sz w:val="20"/>
                <w:szCs w:val="20"/>
              </w:rPr>
            </w:pPr>
            <w:r>
              <w:rPr>
                <w:rFonts w:hAnsi="宋体"/>
                <w:bCs/>
                <w:sz w:val="20"/>
                <w:szCs w:val="20"/>
              </w:rPr>
              <w:t>300*168.75*10</w:t>
            </w:r>
            <w:r>
              <w:rPr>
                <w:rFonts w:hint="eastAsia" w:hAnsi="宋体"/>
                <w:bCs/>
                <w:sz w:val="20"/>
                <w:szCs w:val="2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箱体尺寸（长*宽*高）/(mm)</w:t>
            </w:r>
          </w:p>
        </w:tc>
        <w:tc>
          <w:tcPr>
            <w:tcW w:w="4482" w:type="dxa"/>
            <w:vAlign w:val="center"/>
          </w:tcPr>
          <w:p>
            <w:pPr>
              <w:pStyle w:val="21"/>
              <w:spacing w:line="360" w:lineRule="auto"/>
              <w:ind w:firstLine="480"/>
              <w:jc w:val="center"/>
              <w:rPr>
                <w:rFonts w:hAnsi="宋体"/>
                <w:bCs/>
                <w:sz w:val="20"/>
                <w:szCs w:val="20"/>
              </w:rPr>
            </w:pPr>
            <w:r>
              <w:rPr>
                <w:rFonts w:hint="eastAsia" w:hAnsi="宋体"/>
                <w:bCs/>
                <w:sz w:val="20"/>
                <w:szCs w:val="20"/>
              </w:rPr>
              <w:t>600*337.5*</w:t>
            </w:r>
            <w:r>
              <w:rPr>
                <w:rFonts w:hAnsi="宋体"/>
                <w:bCs/>
                <w:sz w:val="20"/>
                <w:szCs w:val="20"/>
              </w:rPr>
              <w:t>51.5</w:t>
            </w:r>
            <w:r>
              <w:rPr>
                <w:rFonts w:hint="eastAsia" w:hAnsi="宋体"/>
                <w:bCs/>
                <w:sz w:val="20"/>
                <w:szCs w:val="2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箱体材质</w:t>
            </w:r>
          </w:p>
        </w:tc>
        <w:tc>
          <w:tcPr>
            <w:tcW w:w="4482" w:type="dxa"/>
            <w:vAlign w:val="center"/>
          </w:tcPr>
          <w:p>
            <w:pPr>
              <w:pStyle w:val="21"/>
              <w:spacing w:line="360" w:lineRule="auto"/>
              <w:ind w:firstLine="480"/>
              <w:jc w:val="center"/>
              <w:rPr>
                <w:rFonts w:hAnsi="宋体"/>
                <w:bCs/>
                <w:sz w:val="20"/>
                <w:szCs w:val="20"/>
              </w:rPr>
            </w:pPr>
            <w:r>
              <w:rPr>
                <w:rFonts w:hint="eastAsia" w:hAnsi="宋体"/>
                <w:bCs/>
                <w:sz w:val="20"/>
                <w:szCs w:val="20"/>
              </w:rPr>
              <w:t>压铸铝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箱体模组组成(W*H)</w:t>
            </w:r>
          </w:p>
        </w:tc>
        <w:tc>
          <w:tcPr>
            <w:tcW w:w="4482" w:type="dxa"/>
            <w:vAlign w:val="center"/>
          </w:tcPr>
          <w:p>
            <w:pPr>
              <w:pStyle w:val="21"/>
              <w:spacing w:line="360" w:lineRule="auto"/>
              <w:ind w:firstLine="480"/>
              <w:jc w:val="center"/>
              <w:rPr>
                <w:rFonts w:hAnsi="宋体"/>
                <w:bCs/>
                <w:sz w:val="20"/>
                <w:szCs w:val="20"/>
              </w:rPr>
            </w:pPr>
            <w:r>
              <w:rPr>
                <w:rFonts w:hint="eastAsia" w:hAnsi="宋体"/>
                <w:bCs/>
                <w:sz w:val="20"/>
                <w:szCs w:val="20"/>
              </w:rPr>
              <w:t>2*</w:t>
            </w:r>
            <w:r>
              <w:rPr>
                <w:rFonts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360" w:lineRule="auto"/>
              <w:ind w:firstLine="480"/>
              <w:jc w:val="center"/>
              <w:rPr>
                <w:rFonts w:hAnsi="宋体"/>
                <w:bCs/>
                <w:sz w:val="20"/>
                <w:szCs w:val="20"/>
              </w:rPr>
            </w:pPr>
            <w:r>
              <w:rPr>
                <w:rFonts w:hint="eastAsia" w:hAnsi="宋体"/>
                <w:bCs/>
                <w:sz w:val="20"/>
                <w:szCs w:val="20"/>
              </w:rPr>
              <w:t>箱体重量(单箱/kg)</w:t>
            </w:r>
          </w:p>
        </w:tc>
        <w:tc>
          <w:tcPr>
            <w:tcW w:w="4482" w:type="dxa"/>
            <w:vAlign w:val="center"/>
          </w:tcPr>
          <w:p>
            <w:pPr>
              <w:pStyle w:val="21"/>
              <w:spacing w:line="360" w:lineRule="auto"/>
              <w:ind w:firstLine="480"/>
              <w:jc w:val="center"/>
              <w:rPr>
                <w:rFonts w:hAnsi="宋体"/>
                <w:bCs/>
                <w:sz w:val="20"/>
                <w:szCs w:val="20"/>
              </w:rPr>
            </w:pPr>
            <w:r>
              <w:rPr>
                <w:rFonts w:hint="eastAsia" w:hAnsi="宋体"/>
                <w:bCs/>
                <w:sz w:val="20"/>
                <w:szCs w:val="20"/>
              </w:rPr>
              <w:t>5.8kg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50" w:type="dxa"/>
            <w:vMerge w:val="restart"/>
            <w:vAlign w:val="center"/>
          </w:tcPr>
          <w:p>
            <w:pPr>
              <w:widowControl/>
              <w:jc w:val="center"/>
              <w:rPr>
                <w:rFonts w:ascii="宋体" w:hAnsi="宋体" w:eastAsia="宋体" w:cs="宋体"/>
                <w:bCs/>
                <w:sz w:val="20"/>
                <w:szCs w:val="20"/>
              </w:rPr>
            </w:pPr>
          </w:p>
          <w:p>
            <w:pPr>
              <w:widowControl/>
              <w:jc w:val="center"/>
              <w:rPr>
                <w:rFonts w:ascii="宋体" w:hAnsi="宋体" w:eastAsia="宋体" w:cs="宋体"/>
                <w:bCs/>
                <w:sz w:val="20"/>
                <w:szCs w:val="20"/>
              </w:rPr>
            </w:pPr>
            <w:r>
              <w:rPr>
                <w:rFonts w:hint="eastAsia" w:ascii="宋体" w:hAnsi="宋体" w:eastAsia="宋体" w:cs="宋体"/>
                <w:bCs/>
                <w:sz w:val="20"/>
                <w:szCs w:val="20"/>
              </w:rPr>
              <w:t>光</w:t>
            </w:r>
          </w:p>
          <w:p>
            <w:pPr>
              <w:widowControl/>
              <w:jc w:val="center"/>
              <w:rPr>
                <w:rFonts w:ascii="宋体" w:hAnsi="宋体" w:eastAsia="宋体" w:cs="宋体"/>
                <w:bCs/>
                <w:sz w:val="20"/>
                <w:szCs w:val="20"/>
              </w:rPr>
            </w:pPr>
            <w:r>
              <w:rPr>
                <w:rFonts w:hint="eastAsia" w:ascii="宋体" w:hAnsi="宋体" w:eastAsia="宋体" w:cs="宋体"/>
                <w:bCs/>
                <w:sz w:val="20"/>
                <w:szCs w:val="20"/>
              </w:rPr>
              <w:t>学</w:t>
            </w:r>
          </w:p>
          <w:p>
            <w:pPr>
              <w:widowControl/>
              <w:jc w:val="center"/>
              <w:rPr>
                <w:rFonts w:ascii="宋体" w:hAnsi="宋体" w:eastAsia="宋体" w:cs="宋体"/>
                <w:bCs/>
                <w:sz w:val="20"/>
                <w:szCs w:val="20"/>
              </w:rPr>
            </w:pPr>
            <w:r>
              <w:rPr>
                <w:rFonts w:hint="eastAsia" w:ascii="宋体" w:hAnsi="宋体" w:eastAsia="宋体" w:cs="宋体"/>
                <w:bCs/>
                <w:sz w:val="20"/>
                <w:szCs w:val="20"/>
              </w:rPr>
              <w:t>处</w:t>
            </w:r>
          </w:p>
          <w:p>
            <w:pPr>
              <w:widowControl/>
              <w:jc w:val="center"/>
              <w:rPr>
                <w:rFonts w:ascii="宋体" w:hAnsi="宋体" w:eastAsia="宋体" w:cs="宋体"/>
                <w:bCs/>
                <w:sz w:val="20"/>
                <w:szCs w:val="20"/>
              </w:rPr>
            </w:pPr>
            <w:r>
              <w:rPr>
                <w:rFonts w:hint="eastAsia" w:ascii="宋体" w:hAnsi="宋体" w:eastAsia="宋体" w:cs="宋体"/>
                <w:bCs/>
                <w:sz w:val="20"/>
                <w:szCs w:val="20"/>
              </w:rPr>
              <w:t>理</w:t>
            </w:r>
          </w:p>
          <w:p>
            <w:pPr>
              <w:widowControl/>
              <w:jc w:val="center"/>
              <w:rPr>
                <w:rFonts w:ascii="宋体" w:hAnsi="宋体" w:eastAsia="宋体" w:cs="宋体"/>
                <w:bCs/>
                <w:sz w:val="20"/>
                <w:szCs w:val="20"/>
              </w:rPr>
            </w:pPr>
            <w:r>
              <w:rPr>
                <w:rFonts w:hint="eastAsia" w:ascii="宋体" w:hAnsi="宋体" w:eastAsia="宋体" w:cs="宋体"/>
                <w:bCs/>
                <w:sz w:val="20"/>
                <w:szCs w:val="20"/>
              </w:rPr>
              <w:t>参</w:t>
            </w:r>
          </w:p>
          <w:p>
            <w:pPr>
              <w:widowControl/>
              <w:jc w:val="center"/>
              <w:rPr>
                <w:rFonts w:ascii="宋体" w:hAnsi="宋体" w:eastAsia="宋体" w:cs="宋体"/>
                <w:bCs/>
                <w:sz w:val="20"/>
                <w:szCs w:val="20"/>
              </w:rPr>
            </w:pPr>
            <w:r>
              <w:rPr>
                <w:rFonts w:hint="eastAsia" w:ascii="宋体" w:hAnsi="宋体" w:eastAsia="宋体" w:cs="宋体"/>
                <w:bCs/>
                <w:sz w:val="20"/>
                <w:szCs w:val="20"/>
              </w:rPr>
              <w:t>数</w:t>
            </w: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灰度等级</w:t>
            </w:r>
          </w:p>
        </w:tc>
        <w:tc>
          <w:tcPr>
            <w:tcW w:w="4482" w:type="dxa"/>
            <w:vAlign w:val="center"/>
          </w:tcPr>
          <w:p>
            <w:pPr>
              <w:pStyle w:val="21"/>
              <w:spacing w:line="288" w:lineRule="auto"/>
              <w:ind w:firstLine="480"/>
              <w:jc w:val="center"/>
              <w:rPr>
                <w:rFonts w:hAnsi="宋体"/>
                <w:bCs/>
                <w:sz w:val="20"/>
                <w:szCs w:val="20"/>
              </w:rPr>
            </w:pPr>
            <w:r>
              <w:rPr>
                <w:rFonts w:hint="eastAsia" w:hAnsi="宋体" w:cs="Arial"/>
                <w:sz w:val="20"/>
                <w:szCs w:val="20"/>
              </w:rPr>
              <w:t>≥</w:t>
            </w:r>
            <w:r>
              <w:rPr>
                <w:rFonts w:hint="eastAsia" w:hAnsi="宋体"/>
                <w:bCs/>
                <w:sz w:val="20"/>
                <w:szCs w:val="20"/>
              </w:rPr>
              <w:t>1</w:t>
            </w:r>
            <w:r>
              <w:rPr>
                <w:rFonts w:hAnsi="宋体"/>
                <w:bCs/>
                <w:sz w:val="20"/>
                <w:szCs w:val="20"/>
              </w:rPr>
              <w:t>3B</w:t>
            </w:r>
            <w:r>
              <w:rPr>
                <w:rFonts w:hint="eastAsia" w:hAnsi="宋体"/>
                <w:bCs/>
                <w:sz w:val="20"/>
                <w:szCs w:val="20"/>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对比度</w:t>
            </w:r>
          </w:p>
        </w:tc>
        <w:tc>
          <w:tcPr>
            <w:tcW w:w="4482" w:type="dxa"/>
            <w:vAlign w:val="center"/>
          </w:tcPr>
          <w:p>
            <w:pPr>
              <w:pStyle w:val="21"/>
              <w:spacing w:line="288" w:lineRule="auto"/>
              <w:ind w:firstLine="480"/>
              <w:jc w:val="center"/>
              <w:rPr>
                <w:rFonts w:hAnsi="宋体"/>
                <w:bCs/>
                <w:sz w:val="20"/>
                <w:szCs w:val="20"/>
              </w:rPr>
            </w:pPr>
            <w:r>
              <w:rPr>
                <w:rFonts w:hAnsi="宋体"/>
                <w:bCs/>
                <w:sz w:val="20"/>
                <w:szCs w:val="20"/>
              </w:rPr>
              <w:t>5</w:t>
            </w:r>
            <w:r>
              <w:rPr>
                <w:rFonts w:hint="eastAsia" w:hAnsi="宋体"/>
                <w:bCs/>
                <w:sz w:val="20"/>
                <w:szCs w:val="20"/>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刷新频率（Hz）</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驱动方式</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共阴，恒流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白平衡亮度（nit）</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100-800(可调）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视角（H/V°）</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160/140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0" w:type="dxa"/>
            <w:vMerge w:val="restart"/>
            <w:vAlign w:val="center"/>
          </w:tcPr>
          <w:p>
            <w:pPr>
              <w:widowControl/>
              <w:jc w:val="center"/>
              <w:rPr>
                <w:rFonts w:ascii="宋体" w:hAnsi="宋体" w:eastAsia="宋体" w:cs="宋体"/>
                <w:bCs/>
                <w:sz w:val="20"/>
                <w:szCs w:val="20"/>
              </w:rPr>
            </w:pPr>
            <w:r>
              <w:rPr>
                <w:rFonts w:hint="eastAsia" w:ascii="宋体" w:hAnsi="宋体" w:eastAsia="宋体" w:cs="宋体"/>
                <w:bCs/>
                <w:sz w:val="20"/>
                <w:szCs w:val="20"/>
              </w:rPr>
              <w:t>电</w:t>
            </w:r>
          </w:p>
          <w:p>
            <w:pPr>
              <w:widowControl/>
              <w:jc w:val="center"/>
              <w:rPr>
                <w:rFonts w:ascii="宋体" w:hAnsi="宋体" w:eastAsia="宋体" w:cs="宋体"/>
                <w:bCs/>
                <w:sz w:val="20"/>
                <w:szCs w:val="20"/>
              </w:rPr>
            </w:pPr>
            <w:r>
              <w:rPr>
                <w:rFonts w:hint="eastAsia" w:ascii="宋体" w:hAnsi="宋体" w:eastAsia="宋体" w:cs="宋体"/>
                <w:bCs/>
                <w:sz w:val="20"/>
                <w:szCs w:val="20"/>
              </w:rPr>
              <w:t>气</w:t>
            </w:r>
          </w:p>
          <w:p>
            <w:pPr>
              <w:widowControl/>
              <w:jc w:val="center"/>
              <w:rPr>
                <w:rFonts w:ascii="宋体" w:hAnsi="宋体" w:eastAsia="宋体" w:cs="宋体"/>
                <w:bCs/>
                <w:sz w:val="20"/>
                <w:szCs w:val="20"/>
              </w:rPr>
            </w:pPr>
            <w:r>
              <w:rPr>
                <w:rFonts w:hint="eastAsia" w:ascii="宋体" w:hAnsi="宋体" w:eastAsia="宋体" w:cs="宋体"/>
                <w:bCs/>
                <w:sz w:val="20"/>
                <w:szCs w:val="20"/>
              </w:rPr>
              <w:t>参</w:t>
            </w:r>
          </w:p>
          <w:p>
            <w:pPr>
              <w:widowControl/>
              <w:jc w:val="center"/>
              <w:rPr>
                <w:rFonts w:ascii="宋体" w:hAnsi="宋体" w:eastAsia="宋体" w:cs="宋体"/>
                <w:bCs/>
                <w:sz w:val="20"/>
                <w:szCs w:val="20"/>
              </w:rPr>
            </w:pPr>
            <w:r>
              <w:rPr>
                <w:rFonts w:hint="eastAsia" w:ascii="宋体" w:hAnsi="宋体" w:eastAsia="宋体" w:cs="宋体"/>
                <w:bCs/>
                <w:sz w:val="20"/>
                <w:szCs w:val="20"/>
              </w:rPr>
              <w:t>数</w:t>
            </w: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交流输入电压（V）</w:t>
            </w:r>
          </w:p>
        </w:tc>
        <w:tc>
          <w:tcPr>
            <w:tcW w:w="4482" w:type="dxa"/>
            <w:vAlign w:val="center"/>
          </w:tcPr>
          <w:p>
            <w:pPr>
              <w:pStyle w:val="21"/>
              <w:spacing w:line="288" w:lineRule="auto"/>
              <w:ind w:firstLine="480"/>
              <w:jc w:val="center"/>
              <w:rPr>
                <w:rFonts w:hAnsi="宋体"/>
                <w:bCs/>
                <w:sz w:val="20"/>
                <w:szCs w:val="20"/>
              </w:rPr>
            </w:pPr>
            <w:r>
              <w:rPr>
                <w:rFonts w:hint="eastAsia" w:hAnsi="宋体"/>
                <w:sz w:val="20"/>
                <w:szCs w:val="20"/>
              </w:rPr>
              <w:t>输入电压：100-240V~50/60Hz;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交流输入功率最大值（W/m²）</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6</w:t>
            </w:r>
            <w:r>
              <w:rPr>
                <w:rFonts w:hAnsi="宋体"/>
                <w:bCs/>
                <w:sz w:val="20"/>
                <w:szCs w:val="20"/>
              </w:rPr>
              <w:t>25W/m2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交流输入功率平均值（W/m²）</w:t>
            </w:r>
          </w:p>
        </w:tc>
        <w:tc>
          <w:tcPr>
            <w:tcW w:w="4482" w:type="dxa"/>
            <w:vAlign w:val="center"/>
          </w:tcPr>
          <w:p>
            <w:pPr>
              <w:pStyle w:val="21"/>
              <w:spacing w:line="288" w:lineRule="auto"/>
              <w:ind w:firstLine="480"/>
              <w:jc w:val="center"/>
              <w:rPr>
                <w:rFonts w:hAnsi="宋体"/>
                <w:bCs/>
                <w:sz w:val="20"/>
                <w:szCs w:val="20"/>
              </w:rPr>
            </w:pPr>
            <w:r>
              <w:rPr>
                <w:rFonts w:hAnsi="宋体"/>
                <w:bCs/>
                <w:sz w:val="20"/>
                <w:szCs w:val="20"/>
              </w:rPr>
              <w:t>220W/m2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restart"/>
            <w:vAlign w:val="center"/>
          </w:tcPr>
          <w:p>
            <w:pPr>
              <w:widowControl/>
              <w:jc w:val="center"/>
              <w:rPr>
                <w:rFonts w:ascii="宋体" w:hAnsi="宋体" w:eastAsia="宋体" w:cs="宋体"/>
                <w:bCs/>
                <w:sz w:val="20"/>
                <w:szCs w:val="20"/>
              </w:rPr>
            </w:pPr>
            <w:r>
              <w:rPr>
                <w:rFonts w:hint="eastAsia" w:ascii="宋体" w:hAnsi="宋体" w:eastAsia="宋体" w:cs="宋体"/>
                <w:bCs/>
                <w:sz w:val="20"/>
                <w:szCs w:val="20"/>
              </w:rPr>
              <w:t>使</w:t>
            </w:r>
          </w:p>
          <w:p>
            <w:pPr>
              <w:widowControl/>
              <w:jc w:val="center"/>
              <w:rPr>
                <w:rFonts w:ascii="宋体" w:hAnsi="宋体" w:eastAsia="宋体" w:cs="宋体"/>
                <w:bCs/>
                <w:sz w:val="20"/>
                <w:szCs w:val="20"/>
              </w:rPr>
            </w:pPr>
            <w:r>
              <w:rPr>
                <w:rFonts w:hint="eastAsia" w:ascii="宋体" w:hAnsi="宋体" w:eastAsia="宋体" w:cs="宋体"/>
                <w:bCs/>
                <w:sz w:val="20"/>
                <w:szCs w:val="20"/>
              </w:rPr>
              <w:t>用</w:t>
            </w:r>
          </w:p>
          <w:p>
            <w:pPr>
              <w:widowControl/>
              <w:jc w:val="center"/>
              <w:rPr>
                <w:rFonts w:ascii="宋体" w:hAnsi="宋体" w:eastAsia="宋体" w:cs="宋体"/>
                <w:bCs/>
                <w:sz w:val="20"/>
                <w:szCs w:val="20"/>
              </w:rPr>
            </w:pPr>
            <w:r>
              <w:rPr>
                <w:rFonts w:hint="eastAsia" w:ascii="宋体" w:hAnsi="宋体" w:eastAsia="宋体" w:cs="宋体"/>
                <w:bCs/>
                <w:sz w:val="20"/>
                <w:szCs w:val="20"/>
              </w:rPr>
              <w:t>环</w:t>
            </w:r>
          </w:p>
          <w:p>
            <w:pPr>
              <w:widowControl/>
              <w:jc w:val="center"/>
              <w:rPr>
                <w:rFonts w:ascii="宋体" w:hAnsi="宋体" w:eastAsia="宋体" w:cs="宋体"/>
                <w:bCs/>
                <w:sz w:val="20"/>
                <w:szCs w:val="20"/>
              </w:rPr>
            </w:pPr>
            <w:r>
              <w:rPr>
                <w:rFonts w:hint="eastAsia" w:ascii="宋体" w:hAnsi="宋体" w:eastAsia="宋体" w:cs="宋体"/>
                <w:bCs/>
                <w:sz w:val="20"/>
                <w:szCs w:val="20"/>
              </w:rPr>
              <w:t>境</w:t>
            </w:r>
          </w:p>
          <w:p>
            <w:pPr>
              <w:widowControl/>
              <w:jc w:val="center"/>
              <w:rPr>
                <w:rFonts w:ascii="宋体" w:hAnsi="宋体" w:eastAsia="宋体" w:cs="宋体"/>
                <w:bCs/>
                <w:sz w:val="20"/>
                <w:szCs w:val="20"/>
              </w:rPr>
            </w:pPr>
            <w:r>
              <w:rPr>
                <w:rFonts w:hint="eastAsia" w:ascii="宋体" w:hAnsi="宋体" w:eastAsia="宋体" w:cs="宋体"/>
                <w:bCs/>
                <w:sz w:val="20"/>
                <w:szCs w:val="20"/>
              </w:rPr>
              <w:t>参</w:t>
            </w:r>
          </w:p>
          <w:p>
            <w:pPr>
              <w:widowControl/>
              <w:jc w:val="center"/>
              <w:rPr>
                <w:rFonts w:ascii="宋体" w:hAnsi="宋体" w:eastAsia="宋体" w:cs="宋体"/>
                <w:bCs/>
                <w:sz w:val="20"/>
                <w:szCs w:val="20"/>
              </w:rPr>
            </w:pPr>
            <w:r>
              <w:rPr>
                <w:rFonts w:hint="eastAsia" w:ascii="宋体" w:hAnsi="宋体" w:eastAsia="宋体" w:cs="宋体"/>
                <w:bCs/>
                <w:sz w:val="20"/>
                <w:szCs w:val="20"/>
              </w:rPr>
              <w:t>数</w:t>
            </w: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储存温度（℃）</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 xml:space="preserve">―10 - </w:t>
            </w:r>
            <w:r>
              <w:rPr>
                <w:rFonts w:hAnsi="宋体"/>
                <w:bCs/>
                <w:sz w:val="20"/>
                <w:szCs w:val="20"/>
              </w:rPr>
              <w:t>3</w:t>
            </w:r>
            <w:r>
              <w:rPr>
                <w:rFonts w:hint="eastAsia" w:hAnsi="宋体"/>
                <w:bCs/>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工作温度（℃）</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w:t>
            </w:r>
            <w:r>
              <w:rPr>
                <w:rFonts w:hAnsi="宋体"/>
                <w:bCs/>
                <w:sz w:val="20"/>
                <w:szCs w:val="20"/>
              </w:rPr>
              <w:t>20</w:t>
            </w:r>
            <w:r>
              <w:rPr>
                <w:rFonts w:hint="eastAsia" w:hAnsi="宋体"/>
                <w:bCs/>
                <w:sz w:val="20"/>
                <w:szCs w:val="20"/>
              </w:rPr>
              <w:t>- 40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储存湿度（RH）</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10%~</w:t>
            </w:r>
            <w:r>
              <w:rPr>
                <w:rFonts w:hAnsi="宋体"/>
                <w:bCs/>
                <w:sz w:val="20"/>
                <w:szCs w:val="20"/>
              </w:rPr>
              <w:t>60</w:t>
            </w:r>
            <w:r>
              <w:rPr>
                <w:rFonts w:hint="eastAsia" w:hAnsi="宋体"/>
                <w:bCs/>
                <w:sz w:val="20"/>
                <w:szCs w:val="20"/>
              </w:rPr>
              <w:t>% 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工作湿度（RH）</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10%~</w:t>
            </w:r>
            <w:r>
              <w:rPr>
                <w:rFonts w:hAnsi="宋体"/>
                <w:bCs/>
                <w:sz w:val="20"/>
                <w:szCs w:val="20"/>
              </w:rPr>
              <w:t>65</w:t>
            </w:r>
            <w:r>
              <w:rPr>
                <w:rFonts w:hint="eastAsia" w:hAnsi="宋体"/>
                <w:bCs/>
                <w:sz w:val="20"/>
                <w:szCs w:val="20"/>
              </w:rPr>
              <w:t>% 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产品防护等级</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IP</w:t>
            </w:r>
            <w:r>
              <w:rPr>
                <w:rFonts w:hAnsi="宋体"/>
                <w:bCs/>
                <w:sz w:val="20"/>
                <w:szCs w:val="20"/>
              </w:rPr>
              <w:t>3</w:t>
            </w:r>
            <w:r>
              <w:rPr>
                <w:rFonts w:hint="eastAsia" w:hAnsi="宋体"/>
                <w:bCs/>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LED灯典型寿命（hrs）</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50" w:type="dxa"/>
            <w:vMerge w:val="continue"/>
            <w:vAlign w:val="center"/>
          </w:tcPr>
          <w:p>
            <w:pPr>
              <w:widowControl/>
              <w:jc w:val="center"/>
              <w:rPr>
                <w:rFonts w:ascii="宋体" w:hAnsi="宋体" w:eastAsia="宋体" w:cs="宋体"/>
                <w:bCs/>
                <w:sz w:val="20"/>
                <w:szCs w:val="20"/>
              </w:rPr>
            </w:pPr>
          </w:p>
        </w:tc>
        <w:tc>
          <w:tcPr>
            <w:tcW w:w="4247" w:type="dxa"/>
            <w:vAlign w:val="center"/>
          </w:tcPr>
          <w:p>
            <w:pPr>
              <w:pStyle w:val="21"/>
              <w:spacing w:line="288" w:lineRule="auto"/>
              <w:ind w:firstLine="480"/>
              <w:jc w:val="center"/>
              <w:rPr>
                <w:rFonts w:hAnsi="宋体"/>
                <w:bCs/>
                <w:sz w:val="20"/>
                <w:szCs w:val="20"/>
              </w:rPr>
            </w:pPr>
            <w:r>
              <w:rPr>
                <w:rFonts w:hint="eastAsia" w:hAnsi="宋体"/>
                <w:bCs/>
                <w:sz w:val="20"/>
                <w:szCs w:val="20"/>
              </w:rPr>
              <w:t>箱体维护方式</w:t>
            </w:r>
          </w:p>
        </w:tc>
        <w:tc>
          <w:tcPr>
            <w:tcW w:w="4482" w:type="dxa"/>
            <w:vAlign w:val="center"/>
          </w:tcPr>
          <w:p>
            <w:pPr>
              <w:pStyle w:val="21"/>
              <w:spacing w:line="288" w:lineRule="auto"/>
              <w:ind w:firstLine="480"/>
              <w:jc w:val="center"/>
              <w:rPr>
                <w:rFonts w:hAnsi="宋体"/>
                <w:bCs/>
                <w:sz w:val="20"/>
                <w:szCs w:val="20"/>
              </w:rPr>
            </w:pPr>
            <w:r>
              <w:rPr>
                <w:rFonts w:hint="eastAsia" w:hAnsi="宋体"/>
                <w:bCs/>
                <w:sz w:val="20"/>
                <w:szCs w:val="20"/>
              </w:rPr>
              <w:t>全前维护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579" w:type="dxa"/>
            <w:gridSpan w:val="3"/>
            <w:vAlign w:val="center"/>
          </w:tcPr>
          <w:p>
            <w:pPr>
              <w:pStyle w:val="21"/>
              <w:spacing w:line="288" w:lineRule="auto"/>
              <w:ind w:firstLine="480"/>
              <w:jc w:val="center"/>
              <w:rPr>
                <w:rFonts w:hAnsi="宋体"/>
                <w:bCs/>
                <w:sz w:val="20"/>
                <w:szCs w:val="20"/>
              </w:rPr>
            </w:pPr>
            <w:r>
              <w:rPr>
                <w:rFonts w:hint="eastAsia" w:hAnsi="宋体"/>
                <w:color w:val="FF0000"/>
                <w:sz w:val="20"/>
                <w:szCs w:val="20"/>
              </w:rPr>
              <w:t>注：因配置差异参数有随之变化，以上仅供参考</w:t>
            </w:r>
          </w:p>
        </w:tc>
      </w:tr>
    </w:tbl>
    <w:p>
      <w:pPr>
        <w:spacing w:line="360" w:lineRule="auto"/>
        <w:rPr>
          <w:rFonts w:ascii="微软雅黑" w:hAnsi="微软雅黑" w:eastAsia="微软雅黑" w:cs="宋体"/>
          <w:sz w:val="36"/>
          <w:szCs w:val="36"/>
        </w:rPr>
      </w:pPr>
    </w:p>
    <w:p>
      <w:pPr>
        <w:pStyle w:val="2"/>
        <w:numPr>
          <w:ilvl w:val="0"/>
          <w:numId w:val="1"/>
        </w:numPr>
        <w:outlineLvl w:val="0"/>
        <w:rPr>
          <w:rFonts w:ascii="微软雅黑" w:hAnsi="微软雅黑" w:eastAsia="微软雅黑" w:cs="宋体"/>
          <w:sz w:val="36"/>
          <w:szCs w:val="36"/>
        </w:rPr>
      </w:pPr>
      <w:bookmarkStart w:id="8" w:name="_Toc10438"/>
      <w:r>
        <w:rPr>
          <w:rFonts w:hint="eastAsia" w:ascii="微软雅黑" w:hAnsi="微软雅黑" w:eastAsia="微软雅黑" w:cs="宋体"/>
          <w:sz w:val="36"/>
          <w:szCs w:val="36"/>
        </w:rPr>
        <w:t>箱体安装孔位图</w:t>
      </w:r>
      <w:bookmarkEnd w:id="8"/>
    </w:p>
    <w:p>
      <w:r>
        <w:drawing>
          <wp:inline distT="0" distB="0" distL="0" distR="0">
            <wp:extent cx="5271770" cy="3481070"/>
            <wp:effectExtent l="0" t="0" r="508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85360" cy="3490316"/>
                    </a:xfrm>
                    <a:prstGeom prst="rect">
                      <a:avLst/>
                    </a:prstGeom>
                    <a:noFill/>
                    <a:ln>
                      <a:noFill/>
                    </a:ln>
                  </pic:spPr>
                </pic:pic>
              </a:graphicData>
            </a:graphic>
          </wp:inline>
        </w:drawing>
      </w:r>
    </w:p>
    <w:p>
      <w:pPr>
        <w:ind w:firstLine="210" w:firstLineChars="100"/>
        <w:rPr>
          <w:rFonts w:ascii="微软雅黑" w:hAnsi="微软雅黑" w:eastAsia="微软雅黑" w:cs="Arial"/>
          <w:szCs w:val="21"/>
        </w:rPr>
      </w:pPr>
      <w:r>
        <w:rPr>
          <w:rFonts w:hint="eastAsia" w:ascii="微软雅黑" w:hAnsi="微软雅黑" w:eastAsia="微软雅黑" w:cs="Arial"/>
          <w:szCs w:val="21"/>
        </w:rPr>
        <w:t xml:space="preserve">锁连接片螺丝：M8*20      </w:t>
      </w:r>
    </w:p>
    <w:p>
      <w:pPr>
        <w:ind w:firstLine="4830" w:firstLineChars="2300"/>
        <w:rPr>
          <w:rFonts w:ascii="微软雅黑" w:hAnsi="微软雅黑" w:eastAsia="微软雅黑" w:cs="Arial"/>
          <w:szCs w:val="21"/>
        </w:rPr>
      </w:pPr>
      <w:r>
        <w:rPr>
          <w:rFonts w:hint="eastAsia" w:ascii="微软雅黑" w:hAnsi="微软雅黑" w:eastAsia="微软雅黑" w:cs="Arial"/>
          <w:szCs w:val="21"/>
        </w:rPr>
        <w:t>备注：</w:t>
      </w:r>
      <w:r>
        <w:rPr>
          <w:rFonts w:hint="eastAsia" w:ascii="微软雅黑" w:hAnsi="微软雅黑" w:eastAsia="微软雅黑" w:cs="Arial"/>
          <w:b/>
          <w:szCs w:val="21"/>
        </w:rPr>
        <w:t xml:space="preserve"> </w:t>
      </w:r>
      <w:r>
        <w:rPr>
          <w:rFonts w:ascii="微软雅黑" w:hAnsi="微软雅黑" w:eastAsia="微软雅黑" w:cs="Arial"/>
          <w:szCs w:val="21"/>
        </w:rPr>
        <w:t>所有尺寸的单位为mm</w:t>
      </w:r>
    </w:p>
    <w:p>
      <w:pPr>
        <w:ind w:firstLine="4830" w:firstLineChars="2300"/>
        <w:rPr>
          <w:rFonts w:ascii="微软雅黑" w:hAnsi="微软雅黑" w:eastAsia="微软雅黑" w:cs="Arial"/>
          <w:szCs w:val="21"/>
        </w:rPr>
      </w:pPr>
    </w:p>
    <w:p>
      <w:pPr>
        <w:ind w:firstLine="4830" w:firstLineChars="2300"/>
        <w:rPr>
          <w:rFonts w:ascii="微软雅黑" w:hAnsi="微软雅黑" w:eastAsia="微软雅黑" w:cs="Arial"/>
          <w:szCs w:val="21"/>
        </w:rPr>
      </w:pPr>
    </w:p>
    <w:p>
      <w:pPr>
        <w:ind w:firstLine="4830" w:firstLineChars="2300"/>
        <w:rPr>
          <w:rFonts w:ascii="微软雅黑" w:hAnsi="微软雅黑" w:eastAsia="微软雅黑" w:cs="Arial"/>
          <w:szCs w:val="21"/>
        </w:rPr>
      </w:pPr>
    </w:p>
    <w:p>
      <w:pPr>
        <w:ind w:firstLine="4830" w:firstLineChars="2300"/>
        <w:rPr>
          <w:rFonts w:ascii="微软雅黑" w:hAnsi="微软雅黑" w:eastAsia="微软雅黑" w:cs="Arial"/>
          <w:szCs w:val="21"/>
        </w:rPr>
      </w:pPr>
    </w:p>
    <w:p>
      <w:pPr>
        <w:pStyle w:val="2"/>
        <w:numPr>
          <w:ilvl w:val="0"/>
          <w:numId w:val="1"/>
        </w:numPr>
        <w:outlineLvl w:val="0"/>
        <w:rPr>
          <w:rFonts w:ascii="微软雅黑" w:hAnsi="微软雅黑" w:eastAsia="微软雅黑" w:cs="宋体"/>
          <w:sz w:val="36"/>
          <w:szCs w:val="36"/>
        </w:rPr>
      </w:pPr>
      <w:r>
        <w:rPr>
          <w:rFonts w:hint="eastAsia" w:ascii="微软雅黑" w:hAnsi="微软雅黑" w:eastAsia="微软雅黑" w:cs="宋体"/>
          <w:sz w:val="36"/>
          <w:szCs w:val="36"/>
        </w:rPr>
        <w:t>安装指导</w:t>
      </w:r>
    </w:p>
    <w:p>
      <w:pPr>
        <w:rPr>
          <w:rFonts w:ascii="微软雅黑" w:hAnsi="微软雅黑" w:eastAsia="微软雅黑"/>
          <w:szCs w:val="21"/>
        </w:rPr>
      </w:pPr>
      <w:r>
        <w:rPr>
          <w:rFonts w:hint="eastAsia" w:ascii="微软雅黑" w:hAnsi="微软雅黑" w:eastAsia="微软雅黑" w:cs="Arial"/>
          <w:szCs w:val="21"/>
        </w:rPr>
        <w:t>箱体安装示意图(此图仅供参考，具体接线方式参考实物)：</w:t>
      </w:r>
    </w:p>
    <w:p/>
    <w:p>
      <w:r>
        <w:drawing>
          <wp:inline distT="0" distB="0" distL="0" distR="0">
            <wp:extent cx="6010275" cy="27336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t="7138" r="922" b="3087"/>
                    <a:stretch>
                      <a:fillRect/>
                    </a:stretch>
                  </pic:blipFill>
                  <pic:spPr>
                    <a:xfrm>
                      <a:off x="0" y="0"/>
                      <a:ext cx="6045275" cy="2749594"/>
                    </a:xfrm>
                    <a:prstGeom prst="rect">
                      <a:avLst/>
                    </a:prstGeom>
                    <a:noFill/>
                    <a:ln>
                      <a:noFill/>
                    </a:ln>
                  </pic:spPr>
                </pic:pic>
              </a:graphicData>
            </a:graphic>
          </wp:inline>
        </w:drawing>
      </w:r>
    </w:p>
    <w:p>
      <w:pPr>
        <w:ind w:firstLine="3780" w:firstLineChars="1800"/>
        <w:rPr>
          <w:rFonts w:ascii="微软雅黑" w:hAnsi="微软雅黑" w:eastAsia="微软雅黑"/>
          <w:szCs w:val="21"/>
        </w:rPr>
      </w:pPr>
      <w:r>
        <w:t xml:space="preserve"> </w:t>
      </w:r>
      <w:r>
        <w:rPr>
          <w:rFonts w:hint="eastAsia" w:ascii="微软雅黑" w:hAnsi="微软雅黑" w:eastAsia="微软雅黑"/>
          <w:szCs w:val="21"/>
        </w:rPr>
        <w:t>箱体拼装示意图</w:t>
      </w:r>
      <w:bookmarkStart w:id="9" w:name="_Hlk119399312"/>
    </w:p>
    <w:p>
      <w:pPr>
        <w:pStyle w:val="2"/>
        <w:ind w:left="5"/>
        <w:outlineLvl w:val="0"/>
        <w:rPr>
          <w:rFonts w:ascii="微软雅黑" w:hAnsi="微软雅黑" w:eastAsia="微软雅黑" w:cs="宋体"/>
          <w:sz w:val="36"/>
          <w:szCs w:val="36"/>
        </w:rPr>
      </w:pPr>
      <w:bookmarkStart w:id="10" w:name="_Toc20790"/>
      <w:r>
        <w:rPr>
          <w:rFonts w:hint="eastAsia" w:ascii="微软雅黑" w:hAnsi="微软雅黑" w:eastAsia="微软雅黑" w:cs="宋体"/>
          <w:sz w:val="36"/>
          <w:szCs w:val="36"/>
          <w:highlight w:val="none"/>
        </w:rPr>
        <w:t>五、</w:t>
      </w:r>
      <w:r>
        <w:rPr>
          <w:rFonts w:hint="eastAsia" w:ascii="微软雅黑" w:hAnsi="微软雅黑" w:eastAsia="微软雅黑" w:cs="宋体"/>
          <w:sz w:val="36"/>
          <w:szCs w:val="36"/>
        </w:rPr>
        <w:t>注意事项</w:t>
      </w:r>
      <w:bookmarkEnd w:id="10"/>
    </w:p>
    <w:p>
      <w:pPr>
        <w:keepNext w:val="0"/>
        <w:keepLines w:val="0"/>
        <w:pageBreakBefore w:val="0"/>
        <w:widowControl w:val="0"/>
        <w:tabs>
          <w:tab w:val="right" w:pos="8730"/>
        </w:tabs>
        <w:kinsoku/>
        <w:wordWrap/>
        <w:overflowPunct/>
        <w:topLinePunct w:val="0"/>
        <w:autoSpaceDE/>
        <w:autoSpaceDN/>
        <w:bidi w:val="0"/>
        <w:adjustRightInd/>
        <w:snapToGrid/>
        <w:spacing w:line="360" w:lineRule="auto"/>
        <w:ind w:firstLine="600" w:firstLineChars="250"/>
        <w:textAlignment w:val="auto"/>
        <w:rPr>
          <w:rFonts w:ascii="微软雅黑" w:hAnsi="微软雅黑" w:eastAsia="微软雅黑" w:cs="宋体"/>
          <w:sz w:val="24"/>
          <w:szCs w:val="24"/>
        </w:rPr>
      </w:pPr>
      <w:r>
        <w:rPr>
          <w:rFonts w:hint="eastAsia" w:ascii="微软雅黑" w:hAnsi="微软雅黑" w:eastAsia="微软雅黑" w:cs="宋体"/>
          <w:sz w:val="24"/>
          <w:szCs w:val="24"/>
        </w:rPr>
        <w:t>为了使客户和使用者能更好的使用大因科技的产品，提供一份清晰易理解的资料供参考。一般而言，LED使用的方法可与其他的电子产品相同。但使用大因科技的LED产品时，请遵循以下防范措施来保护好产品：</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微软雅黑" w:hAnsi="微软雅黑" w:eastAsia="微软雅黑" w:cs="宋体"/>
          <w:sz w:val="24"/>
          <w:szCs w:val="24"/>
        </w:rPr>
      </w:pPr>
      <w:r>
        <w:rPr>
          <w:rFonts w:hint="eastAsia" w:ascii="微软雅黑" w:hAnsi="微软雅黑" w:eastAsia="微软雅黑" w:cs="宋体"/>
          <w:sz w:val="24"/>
          <w:szCs w:val="24"/>
        </w:rPr>
        <w:t>清洁：由现场环境影响需要清洁模组表面，请使用可以采用软毛刷，轻轻刷拭。禁止使用任何液体物质清洗 LED 模组表面，否则可能损坏 SMD-LED。</w:t>
      </w:r>
    </w:p>
    <w:p>
      <w:pPr>
        <w:pStyle w:val="15"/>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ascii="微软雅黑" w:hAnsi="微软雅黑" w:eastAsia="微软雅黑" w:cs="宋体"/>
          <w:sz w:val="24"/>
          <w:szCs w:val="24"/>
        </w:rPr>
      </w:pPr>
      <w:r>
        <w:rPr>
          <w:rFonts w:hint="eastAsia" w:ascii="微软雅黑" w:hAnsi="微软雅黑" w:eastAsia="微软雅黑" w:cs="宋体"/>
          <w:sz w:val="24"/>
          <w:szCs w:val="24"/>
        </w:rPr>
        <w:t>防潮及存储： SMDLED 产品须存放在温度&lt;30℃和湿度&lt;60%环境中。如果屏体超过3天未使用，每次点亮屏体时需采用预热点亮方式，30%-50%的亮度先预热4至8小时，再调整为正常亮度（80%-100%）点亮屏体，从而将湿气排除，以便在使用时无异常;屏体超过7天未使用，每次点亮屏体时需采用预热点亮方式</w:t>
      </w:r>
      <w:r>
        <w:rPr>
          <w:rFonts w:hint="eastAsia" w:ascii="微软雅黑" w:hAnsi="微软雅黑" w:eastAsia="微软雅黑" w:cstheme="minorEastAsia"/>
          <w:sz w:val="24"/>
          <w:szCs w:val="24"/>
        </w:rPr>
        <w:t>30%-50%的亮度先预热 2-12 小时以上，再调整为正常亮度（80%-100%）点亮屏体，从而将湿气排除，以便在使用时无异常</w:t>
      </w:r>
      <w:bookmarkEnd w:id="9"/>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am">
    <w:altName w:val="Times New Roman"/>
    <w:panose1 w:val="00000000000000000000"/>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0" distR="0" simplePos="0" relativeHeight="251659264" behindDoc="0" locked="0" layoutInCell="1" allowOverlap="1">
          <wp:simplePos x="0" y="0"/>
          <wp:positionH relativeFrom="column">
            <wp:posOffset>5695315</wp:posOffset>
          </wp:positionH>
          <wp:positionV relativeFrom="paragraph">
            <wp:posOffset>136525</wp:posOffset>
          </wp:positionV>
          <wp:extent cx="575945" cy="575310"/>
          <wp:effectExtent l="0" t="0" r="5080" b="5715"/>
          <wp:wrapSquare wrapText="bothSides"/>
          <wp:docPr id="15" name="图片 15" descr="C:\Users\PumpkinPotato\Desktop\微信公众号.png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umpkinPotato\Desktop\微信公众号.png微信公众号"/>
                  <pic:cNvPicPr>
                    <a:picLocks noChangeAspect="1"/>
                  </pic:cNvPicPr>
                </pic:nvPicPr>
                <pic:blipFill>
                  <a:blip r:embed="rId1"/>
                  <a:srcRect/>
                  <a:stretch>
                    <a:fillRect/>
                  </a:stretch>
                </pic:blipFill>
                <pic:spPr>
                  <a:xfrm>
                    <a:off x="0" y="0"/>
                    <a:ext cx="575945" cy="575310"/>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30" name="图片 30"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rPr>
        <w:rFonts w:hint="eastAsia"/>
      </w:rPr>
      <w:t xml:space="preserve">   </w:t>
    </w:r>
    <w:r>
      <w:t xml:space="preserve">   </w:t>
    </w:r>
  </w:p>
  <w:p>
    <w:pPr>
      <w:pStyle w:val="6"/>
      <w:ind w:firstLine="3000" w:firstLineChars="1500"/>
      <w:jc w:val="both"/>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9</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b/>
        <w:bCs/>
        <w:color w:val="171A1D"/>
        <w:sz w:val="20"/>
        <w:szCs w:val="20"/>
        <w:shd w:val="clear" w:color="auto" w:fill="FFFFFF"/>
      </w:rPr>
      <w:t xml:space="preserve">                </w:t>
    </w:r>
    <w:bookmarkStart w:id="11" w:name="_Hlk119427522"/>
    <w:bookmarkStart w:id="12" w:name="_Hlk119427685"/>
    <w:r>
      <w:rPr>
        <w:rFonts w:ascii="Times New Roman" w:hAnsi="Times New Roman" w:eastAsia="宋体" w:cs="Times New Roman"/>
        <w:color w:val="171A1D"/>
        <w:sz w:val="20"/>
        <w:szCs w:val="20"/>
        <w:shd w:val="clear" w:color="auto" w:fill="FFFFFF"/>
      </w:rPr>
      <w:t>表单号：BD-CPCTY-0001 A0</w:t>
    </w:r>
    <w:bookmarkEnd w:id="11"/>
    <w:bookmarkEnd w:id="1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580" w:hanging="5580" w:hangingChars="3100"/>
      <w:jc w:val="both"/>
    </w:pPr>
    <w:r>
      <w:drawing>
        <wp:inline distT="0" distB="0" distL="0" distR="0">
          <wp:extent cx="2462530" cy="723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2530" cy="723900"/>
                  </a:xfrm>
                  <a:prstGeom prst="rect">
                    <a:avLst/>
                  </a:prstGeom>
                  <a:noFill/>
                  <a:ln>
                    <a:noFill/>
                  </a:ln>
                </pic:spPr>
              </pic:pic>
            </a:graphicData>
          </a:graphic>
        </wp:inline>
      </w:drawing>
    </w:r>
    <w:r>
      <w:t xml:space="preserve">                         </w:t>
    </w:r>
    <w:r>
      <w:rPr>
        <w:rFonts w:hint="eastAsia"/>
      </w:rPr>
      <w:drawing>
        <wp:inline distT="0" distB="0" distL="114300" distR="114300">
          <wp:extent cx="2376805" cy="826135"/>
          <wp:effectExtent l="0" t="0" r="4445" b="2540"/>
          <wp:docPr id="28" name="图片 28"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8E2A3"/>
    <w:multiLevelType w:val="singleLevel"/>
    <w:tmpl w:val="04B8E2A3"/>
    <w:lvl w:ilvl="0" w:tentative="0">
      <w:start w:val="1"/>
      <w:numFmt w:val="bullet"/>
      <w:lvlText w:val=""/>
      <w:lvlJc w:val="left"/>
      <w:pPr>
        <w:ind w:left="420" w:hanging="420"/>
      </w:pPr>
      <w:rPr>
        <w:rFonts w:hint="default" w:ascii="Wingdings" w:hAnsi="Wingdings"/>
      </w:rPr>
    </w:lvl>
  </w:abstractNum>
  <w:abstractNum w:abstractNumId="1">
    <w:nsid w:val="119406EC"/>
    <w:multiLevelType w:val="multilevel"/>
    <w:tmpl w:val="119406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85A2F1"/>
    <w:multiLevelType w:val="singleLevel"/>
    <w:tmpl w:val="5B85A2F1"/>
    <w:lvl w:ilvl="0" w:tentative="0">
      <w:start w:val="1"/>
      <w:numFmt w:val="bullet"/>
      <w:lvlText w:val=""/>
      <w:lvlJc w:val="left"/>
      <w:pPr>
        <w:ind w:left="420" w:hanging="420"/>
      </w:pPr>
      <w:rPr>
        <w:rFonts w:hint="default" w:ascii="Wingdings" w:hAnsi="Wingdings"/>
        <w:sz w:val="21"/>
        <w:szCs w:val="21"/>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510B1A"/>
    <w:rsid w:val="000006FC"/>
    <w:rsid w:val="0000308C"/>
    <w:rsid w:val="00013364"/>
    <w:rsid w:val="00075DAE"/>
    <w:rsid w:val="000928AF"/>
    <w:rsid w:val="000B4E89"/>
    <w:rsid w:val="000C0EC1"/>
    <w:rsid w:val="000C7722"/>
    <w:rsid w:val="000D3BF6"/>
    <w:rsid w:val="000D550B"/>
    <w:rsid w:val="000E5F06"/>
    <w:rsid w:val="000E7B7F"/>
    <w:rsid w:val="000F4497"/>
    <w:rsid w:val="0013136B"/>
    <w:rsid w:val="00140EA7"/>
    <w:rsid w:val="0014526A"/>
    <w:rsid w:val="00146373"/>
    <w:rsid w:val="00170E57"/>
    <w:rsid w:val="001A0FB8"/>
    <w:rsid w:val="001A187B"/>
    <w:rsid w:val="001A670B"/>
    <w:rsid w:val="001E7B6E"/>
    <w:rsid w:val="001F4E37"/>
    <w:rsid w:val="002327A7"/>
    <w:rsid w:val="002357E0"/>
    <w:rsid w:val="00246E3F"/>
    <w:rsid w:val="002812B3"/>
    <w:rsid w:val="00294D28"/>
    <w:rsid w:val="002F22DF"/>
    <w:rsid w:val="00300BE9"/>
    <w:rsid w:val="00306B56"/>
    <w:rsid w:val="0032211F"/>
    <w:rsid w:val="00330095"/>
    <w:rsid w:val="00364D2D"/>
    <w:rsid w:val="00365952"/>
    <w:rsid w:val="003A457F"/>
    <w:rsid w:val="003D1597"/>
    <w:rsid w:val="00415BC3"/>
    <w:rsid w:val="0042169F"/>
    <w:rsid w:val="00446D0B"/>
    <w:rsid w:val="00466763"/>
    <w:rsid w:val="00484F09"/>
    <w:rsid w:val="00495C6F"/>
    <w:rsid w:val="004A3E0B"/>
    <w:rsid w:val="004A44F2"/>
    <w:rsid w:val="004A6C4E"/>
    <w:rsid w:val="004D2CAC"/>
    <w:rsid w:val="004D6057"/>
    <w:rsid w:val="004D730E"/>
    <w:rsid w:val="00506558"/>
    <w:rsid w:val="00510B1A"/>
    <w:rsid w:val="00514143"/>
    <w:rsid w:val="00515C2F"/>
    <w:rsid w:val="00517F8A"/>
    <w:rsid w:val="00571F0E"/>
    <w:rsid w:val="005741A8"/>
    <w:rsid w:val="005744F6"/>
    <w:rsid w:val="00577D65"/>
    <w:rsid w:val="005922C1"/>
    <w:rsid w:val="00595023"/>
    <w:rsid w:val="005A5100"/>
    <w:rsid w:val="005B5DE2"/>
    <w:rsid w:val="005C6E74"/>
    <w:rsid w:val="005E0F63"/>
    <w:rsid w:val="005E2E92"/>
    <w:rsid w:val="00603FF3"/>
    <w:rsid w:val="00607108"/>
    <w:rsid w:val="00613331"/>
    <w:rsid w:val="0067319E"/>
    <w:rsid w:val="00696BF0"/>
    <w:rsid w:val="006A4F2F"/>
    <w:rsid w:val="007028EB"/>
    <w:rsid w:val="007256C2"/>
    <w:rsid w:val="0073403B"/>
    <w:rsid w:val="0074361F"/>
    <w:rsid w:val="00746070"/>
    <w:rsid w:val="00762CD8"/>
    <w:rsid w:val="007647FF"/>
    <w:rsid w:val="00765208"/>
    <w:rsid w:val="0076652A"/>
    <w:rsid w:val="00792DE3"/>
    <w:rsid w:val="00793CB3"/>
    <w:rsid w:val="007B5BDD"/>
    <w:rsid w:val="007B68E3"/>
    <w:rsid w:val="007C3D55"/>
    <w:rsid w:val="007C52C5"/>
    <w:rsid w:val="007F19FE"/>
    <w:rsid w:val="00810799"/>
    <w:rsid w:val="00826A44"/>
    <w:rsid w:val="008444D1"/>
    <w:rsid w:val="00854DCE"/>
    <w:rsid w:val="008874F6"/>
    <w:rsid w:val="008B47F8"/>
    <w:rsid w:val="008C5762"/>
    <w:rsid w:val="008F4D59"/>
    <w:rsid w:val="008F6109"/>
    <w:rsid w:val="00952D23"/>
    <w:rsid w:val="00961CED"/>
    <w:rsid w:val="00967E05"/>
    <w:rsid w:val="009A23A3"/>
    <w:rsid w:val="009B69CC"/>
    <w:rsid w:val="009D1508"/>
    <w:rsid w:val="009D6A45"/>
    <w:rsid w:val="009E02BE"/>
    <w:rsid w:val="009E0757"/>
    <w:rsid w:val="009E2EBA"/>
    <w:rsid w:val="009F6C26"/>
    <w:rsid w:val="00A02230"/>
    <w:rsid w:val="00A11ED9"/>
    <w:rsid w:val="00A14938"/>
    <w:rsid w:val="00A35BBF"/>
    <w:rsid w:val="00A73B1C"/>
    <w:rsid w:val="00A91446"/>
    <w:rsid w:val="00A91DE9"/>
    <w:rsid w:val="00AD29F6"/>
    <w:rsid w:val="00B12D05"/>
    <w:rsid w:val="00B52A20"/>
    <w:rsid w:val="00B54E36"/>
    <w:rsid w:val="00B61C9E"/>
    <w:rsid w:val="00B9345F"/>
    <w:rsid w:val="00B977EE"/>
    <w:rsid w:val="00BA15AE"/>
    <w:rsid w:val="00BB069B"/>
    <w:rsid w:val="00BF628F"/>
    <w:rsid w:val="00BF67CF"/>
    <w:rsid w:val="00C146D9"/>
    <w:rsid w:val="00C231E9"/>
    <w:rsid w:val="00C266D1"/>
    <w:rsid w:val="00C42D64"/>
    <w:rsid w:val="00C74126"/>
    <w:rsid w:val="00C94536"/>
    <w:rsid w:val="00CC235D"/>
    <w:rsid w:val="00CC2F9B"/>
    <w:rsid w:val="00CC40EF"/>
    <w:rsid w:val="00CD1FBB"/>
    <w:rsid w:val="00CE71E7"/>
    <w:rsid w:val="00CF4178"/>
    <w:rsid w:val="00D04BEA"/>
    <w:rsid w:val="00D15580"/>
    <w:rsid w:val="00D55CF9"/>
    <w:rsid w:val="00D83937"/>
    <w:rsid w:val="00DA5D21"/>
    <w:rsid w:val="00DE1FF1"/>
    <w:rsid w:val="00DE360B"/>
    <w:rsid w:val="00DF33AD"/>
    <w:rsid w:val="00E109D3"/>
    <w:rsid w:val="00E3245F"/>
    <w:rsid w:val="00E34A37"/>
    <w:rsid w:val="00E34B44"/>
    <w:rsid w:val="00E53D17"/>
    <w:rsid w:val="00E675C2"/>
    <w:rsid w:val="00E96F7B"/>
    <w:rsid w:val="00EA5CEC"/>
    <w:rsid w:val="00EA7A20"/>
    <w:rsid w:val="00EB4AF2"/>
    <w:rsid w:val="00EC4087"/>
    <w:rsid w:val="00EC5CF4"/>
    <w:rsid w:val="00ED0442"/>
    <w:rsid w:val="00F10D1C"/>
    <w:rsid w:val="00F140F3"/>
    <w:rsid w:val="00F3419C"/>
    <w:rsid w:val="00F84058"/>
    <w:rsid w:val="00FA1F6D"/>
    <w:rsid w:val="00FD346C"/>
    <w:rsid w:val="00FE7D05"/>
    <w:rsid w:val="00FF5F57"/>
    <w:rsid w:val="0EF613B8"/>
    <w:rsid w:val="138B0813"/>
    <w:rsid w:val="1392423B"/>
    <w:rsid w:val="1EA6525E"/>
    <w:rsid w:val="41246914"/>
    <w:rsid w:val="44E35409"/>
    <w:rsid w:val="4DA20920"/>
    <w:rsid w:val="597E43A3"/>
    <w:rsid w:val="5FD61D39"/>
    <w:rsid w:val="63F93B47"/>
    <w:rsid w:val="64B65DA4"/>
    <w:rsid w:val="68B97B61"/>
    <w:rsid w:val="7E13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semiHidden/>
    <w:unhideWhenUsed/>
    <w:qFormat/>
    <w:uiPriority w:val="0"/>
    <w:pPr>
      <w:keepNext/>
      <w:keepLines/>
      <w:snapToGrid w:val="0"/>
      <w:spacing w:before="240" w:after="240"/>
      <w:outlineLvl w:val="2"/>
    </w:pPr>
    <w:rPr>
      <w:rFonts w:cs="宋体"/>
      <w:color w:val="0091D1"/>
      <w:kern w:val="0"/>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b/>
      <w:bCs/>
      <w:kern w:val="44"/>
      <w:sz w:val="44"/>
      <w:szCs w:val="44"/>
    </w:rPr>
  </w:style>
  <w:style w:type="character" w:customStyle="1" w:styleId="13">
    <w:name w:val="页脚 字符"/>
    <w:basedOn w:val="11"/>
    <w:link w:val="6"/>
    <w:qFormat/>
    <w:uiPriority w:val="99"/>
    <w:rPr>
      <w:sz w:val="18"/>
      <w:szCs w:val="18"/>
    </w:rPr>
  </w:style>
  <w:style w:type="character" w:customStyle="1" w:styleId="14">
    <w:name w:val="页眉 字符"/>
    <w:basedOn w:val="11"/>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11"/>
    <w:link w:val="3"/>
    <w:qFormat/>
    <w:uiPriority w:val="9"/>
    <w:rPr>
      <w:rFonts w:asciiTheme="majorHAnsi" w:hAnsiTheme="majorHAnsi" w:eastAsiaTheme="majorEastAsia" w:cstheme="majorBidi"/>
      <w:b/>
      <w:bCs/>
      <w:kern w:val="2"/>
      <w:sz w:val="32"/>
      <w:szCs w:val="32"/>
    </w:rPr>
  </w:style>
  <w:style w:type="character" w:customStyle="1" w:styleId="17">
    <w:name w:val="标题 3 字符"/>
    <w:basedOn w:val="11"/>
    <w:link w:val="4"/>
    <w:semiHidden/>
    <w:qFormat/>
    <w:uiPriority w:val="0"/>
    <w:rPr>
      <w:rFonts w:cs="宋体"/>
      <w:color w:val="0091D1"/>
      <w:sz w:val="24"/>
      <w:szCs w:val="32"/>
    </w:rPr>
  </w:style>
  <w:style w:type="paragraph" w:customStyle="1" w:styleId="18">
    <w:name w:val="Block Label"/>
    <w:basedOn w:val="8"/>
    <w:next w:val="1"/>
    <w:qFormat/>
    <w:uiPriority w:val="0"/>
    <w:pPr>
      <w:keepNext/>
      <w:keepLines/>
      <w:tabs>
        <w:tab w:val="left" w:pos="360"/>
      </w:tabs>
      <w:spacing w:after="240"/>
      <w:ind w:left="2520" w:hanging="420"/>
      <w:jc w:val="both"/>
      <w:outlineLvl w:val="9"/>
    </w:pPr>
    <w:rPr>
      <w:rFonts w:ascii="Times new Roam" w:hAnsi="Times new Roam" w:cs="Book Antiqua" w:eastAsiaTheme="minorEastAsia"/>
      <w:bCs w:val="0"/>
      <w:color w:val="0063A8"/>
      <w:kern w:val="0"/>
      <w:sz w:val="24"/>
      <w:szCs w:val="26"/>
      <w:u w:val="double"/>
      <w14:numSpacing w14:val="tabular"/>
    </w:rPr>
  </w:style>
  <w:style w:type="paragraph" w:customStyle="1" w:styleId="19">
    <w:name w:val="Step"/>
    <w:basedOn w:val="1"/>
    <w:qFormat/>
    <w:uiPriority w:val="0"/>
    <w:pPr>
      <w:tabs>
        <w:tab w:val="left" w:pos="3420"/>
        <w:tab w:val="left" w:pos="3686"/>
      </w:tabs>
      <w:adjustRightInd w:val="0"/>
      <w:snapToGrid w:val="0"/>
      <w:spacing w:before="160" w:after="160"/>
      <w:ind w:left="1134" w:hanging="283"/>
    </w:pPr>
    <w:rPr>
      <w:kern w:val="0"/>
    </w:rPr>
  </w:style>
  <w:style w:type="character" w:customStyle="1" w:styleId="20">
    <w:name w:val="标题 字符"/>
    <w:basedOn w:val="11"/>
    <w:link w:val="8"/>
    <w:qFormat/>
    <w:uiPriority w:val="10"/>
    <w:rPr>
      <w:rFonts w:asciiTheme="majorHAnsi" w:hAnsiTheme="majorHAnsi" w:eastAsiaTheme="majorEastAsia" w:cstheme="majorBidi"/>
      <w:b/>
      <w:bCs/>
      <w:kern w:val="2"/>
      <w:sz w:val="32"/>
      <w:szCs w:val="32"/>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字符"/>
    <w:basedOn w:val="11"/>
    <w:link w:val="5"/>
    <w:semiHidden/>
    <w:uiPriority w:val="99"/>
    <w:rPr>
      <w:kern w:val="2"/>
      <w:sz w:val="21"/>
      <w:szCs w:val="22"/>
    </w:rPr>
  </w:style>
  <w:style w:type="paragraph" w:customStyle="1" w:styleId="23">
    <w:name w:val="框架内容"/>
    <w:basedOn w:val="1"/>
    <w:qFormat/>
    <w:uiPriority w:val="0"/>
    <w:pPr>
      <w:spacing w:line="288" w:lineRule="auto"/>
    </w:pPr>
    <w:rPr>
      <w:rFonts w:ascii="Arial" w:hAnsi="Arial" w:eastAsia="华文细黑" w:cs="Times New Roman"/>
      <w:sz w:val="2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11</Pages>
  <Words>2550</Words>
  <Characters>2896</Characters>
  <Lines>22</Lines>
  <Paragraphs>6</Paragraphs>
  <TotalTime>9</TotalTime>
  <ScaleCrop>false</ScaleCrop>
  <LinksUpToDate>false</LinksUpToDate>
  <CharactersWithSpaces>2921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2019-12-18T03:53:00Z</dcterms:created>
  <dc:creator>USER-</dc:creator>
  <cp:lastModifiedBy>南瓜土豆</cp:lastModifiedBy>
  <dcterms:modified xsi:type="dcterms:W3CDTF">2022-12-20T07:54:37Z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8589E9B081C44D77AF3C656A96F62590</vt:lpwstr>
  </property>
</Properties>
</file>