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微软雅黑"/>
          <w:b/>
          <w:bCs/>
          <w:sz w:val="72"/>
          <w:szCs w:val="72"/>
        </w:rPr>
      </w:pPr>
      <w:bookmarkStart w:id="0" w:name="_Hlk34051380"/>
    </w:p>
    <w:p>
      <w:pPr>
        <w:spacing w:line="260" w:lineRule="atLeast"/>
        <w:ind w:firstLine="2161" w:firstLineChars="300"/>
        <w:rPr>
          <w:rFonts w:ascii="微软雅黑" w:hAnsi="微软雅黑" w:eastAsia="微软雅黑" w:cs="微软雅黑"/>
          <w:b/>
          <w:bCs/>
          <w:sz w:val="72"/>
          <w:szCs w:val="72"/>
        </w:rPr>
      </w:pPr>
      <w:r>
        <w:rPr>
          <w:rFonts w:hint="eastAsia" w:ascii="微软雅黑" w:hAnsi="微软雅黑" w:eastAsia="微软雅黑" w:cs="微软雅黑"/>
          <w:b/>
          <w:bCs/>
          <w:sz w:val="72"/>
          <w:szCs w:val="72"/>
        </w:rPr>
        <w:t>L</w:t>
      </w:r>
      <w:r>
        <w:rPr>
          <w:rFonts w:ascii="微软雅黑" w:hAnsi="微软雅黑" w:eastAsia="微软雅黑" w:cs="微软雅黑"/>
          <w:b/>
          <w:bCs/>
          <w:sz w:val="72"/>
          <w:szCs w:val="72"/>
        </w:rPr>
        <w:t>ED</w:t>
      </w:r>
      <w:r>
        <w:rPr>
          <w:rFonts w:hint="eastAsia" w:ascii="微软雅黑" w:hAnsi="微软雅黑" w:eastAsia="微软雅黑" w:cs="微软雅黑"/>
          <w:b/>
          <w:bCs/>
          <w:sz w:val="72"/>
          <w:szCs w:val="72"/>
        </w:rPr>
        <w:t>全彩屏（室内）</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规</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格</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书</w:t>
      </w:r>
    </w:p>
    <w:p>
      <w:pPr>
        <w:pStyle w:val="2"/>
      </w:pPr>
    </w:p>
    <w:bookmarkEnd w:id="0"/>
    <w:p>
      <w:pPr>
        <w:spacing w:line="360" w:lineRule="auto"/>
        <w:ind w:firstLine="3122" w:firstLineChars="600"/>
        <w:jc w:val="left"/>
        <w:rPr>
          <w:rFonts w:ascii="微软雅黑" w:hAnsi="微软雅黑" w:eastAsia="微软雅黑"/>
          <w:b/>
          <w:sz w:val="52"/>
          <w:szCs w:val="52"/>
        </w:rPr>
      </w:pPr>
      <w:bookmarkStart w:id="1" w:name="_GoBack"/>
      <w:r>
        <w:rPr>
          <w:rFonts w:ascii="微软雅黑" w:hAnsi="微软雅黑" w:eastAsia="微软雅黑"/>
          <w:b/>
          <w:sz w:val="52"/>
          <w:szCs w:val="52"/>
        </w:rPr>
        <w:t>LED</w:t>
      </w:r>
      <w:r>
        <w:rPr>
          <w:rFonts w:hint="eastAsia" w:ascii="微软雅黑" w:hAnsi="微软雅黑" w:eastAsia="微软雅黑"/>
          <w:b/>
          <w:sz w:val="52"/>
          <w:szCs w:val="52"/>
          <w:lang w:val="en-US" w:eastAsia="zh-CN"/>
        </w:rPr>
        <w:t>室内</w:t>
      </w:r>
      <w:r>
        <w:rPr>
          <w:rFonts w:hint="eastAsia" w:ascii="微软雅黑" w:hAnsi="微软雅黑" w:eastAsia="微软雅黑"/>
          <w:b/>
          <w:sz w:val="52"/>
          <w:szCs w:val="52"/>
        </w:rPr>
        <w:t>全彩屏</w:t>
      </w:r>
    </w:p>
    <w:bookmarkEnd w:id="1"/>
    <w:p>
      <w:pPr>
        <w:jc w:val="center"/>
      </w:pPr>
      <w:r>
        <w:rPr>
          <w:rFonts w:ascii="微软雅黑" w:hAnsi="微软雅黑" w:eastAsia="微软雅黑"/>
          <w:color w:val="1E1916"/>
          <w:w w:val="110"/>
          <w:sz w:val="36"/>
          <w:szCs w:val="36"/>
        </w:rPr>
        <w:t xml:space="preserve">  P-2.5</w:t>
      </w:r>
    </w:p>
    <w:p>
      <w:pPr>
        <w:spacing w:line="360" w:lineRule="auto"/>
        <w:jc w:val="center"/>
        <w:rPr>
          <w:rFonts w:ascii="微软雅黑" w:hAnsi="微软雅黑" w:eastAsia="微软雅黑" w:cs="微软雅黑"/>
          <w:sz w:val="36"/>
          <w:szCs w:val="36"/>
          <w:vertAlign w:val="subscript"/>
        </w:rPr>
      </w:pPr>
    </w:p>
    <w:p>
      <w:pPr>
        <w:spacing w:line="360" w:lineRule="auto"/>
        <w:jc w:val="center"/>
        <w:rPr>
          <w:rFonts w:ascii="微软雅黑" w:hAnsi="微软雅黑" w:eastAsia="微软雅黑" w:cs="微软雅黑"/>
          <w:sz w:val="36"/>
          <w:szCs w:val="36"/>
          <w:vertAlign w:val="subscript"/>
        </w:rPr>
      </w:pPr>
      <w:r>
        <w:rPr>
          <w:rFonts w:ascii="微软雅黑" w:hAnsi="微软雅黑" w:eastAsia="微软雅黑" w:cs="微软雅黑"/>
          <w:sz w:val="36"/>
          <w:szCs w:val="36"/>
          <w:vertAlign w:val="subscript"/>
        </w:rPr>
        <w:t xml:space="preserve">   </w:t>
      </w:r>
      <w:r>
        <w:rPr>
          <w:rFonts w:hint="eastAsia" w:ascii="微软雅黑" w:hAnsi="微软雅黑" w:eastAsia="微软雅黑" w:cs="微软雅黑"/>
          <w:sz w:val="36"/>
          <w:szCs w:val="36"/>
          <w:vertAlign w:val="subscript"/>
        </w:rPr>
        <w:t>V</w:t>
      </w:r>
      <w:r>
        <w:rPr>
          <w:rFonts w:ascii="微软雅黑" w:hAnsi="微软雅黑" w:eastAsia="微软雅黑" w:cs="微软雅黑"/>
          <w:sz w:val="36"/>
          <w:szCs w:val="36"/>
          <w:vertAlign w:val="subscript"/>
        </w:rPr>
        <w:t>1.0</w:t>
      </w:r>
    </w:p>
    <w:p>
      <w:pPr>
        <w:pStyle w:val="2"/>
      </w:pPr>
    </w:p>
    <w:p>
      <w:pPr>
        <w:pStyle w:val="2"/>
      </w:pPr>
    </w:p>
    <w:p>
      <w:pPr>
        <w:pStyle w:val="2"/>
      </w:pPr>
    </w:p>
    <w:p>
      <w:pPr>
        <w:pStyle w:val="2"/>
      </w:pPr>
    </w:p>
    <w:p>
      <w:pPr>
        <w:pStyle w:val="2"/>
      </w:pPr>
    </w:p>
    <w:p>
      <w:pPr>
        <w:tabs>
          <w:tab w:val="left" w:pos="2985"/>
          <w:tab w:val="center" w:pos="5201"/>
        </w:tabs>
        <w:spacing w:line="260" w:lineRule="atLeast"/>
        <w:jc w:val="center"/>
        <w:rPr>
          <w:rFonts w:ascii="微软雅黑" w:hAnsi="微软雅黑" w:eastAsia="微软雅黑" w:cs="微软雅黑"/>
          <w:sz w:val="36"/>
          <w:szCs w:val="36"/>
        </w:rPr>
      </w:pPr>
      <w:r>
        <w:rPr>
          <w:rFonts w:hint="eastAsia" w:ascii="微软雅黑" w:hAnsi="微软雅黑" w:eastAsia="微软雅黑" w:cs="微软雅黑"/>
          <w:sz w:val="36"/>
          <w:szCs w:val="36"/>
        </w:rPr>
        <w:t>上海大因多媒体技术有限公司</w:t>
      </w:r>
    </w:p>
    <w:p>
      <w:pPr>
        <w:spacing w:line="260" w:lineRule="atLeast"/>
        <w:ind w:firstLine="880" w:firstLineChars="200"/>
        <w:jc w:val="left"/>
        <w:rPr>
          <w:rFonts w:ascii="微软雅黑" w:hAnsi="微软雅黑" w:eastAsia="微软雅黑" w:cs="微软雅黑"/>
          <w:sz w:val="44"/>
          <w:szCs w:val="44"/>
        </w:rPr>
      </w:pPr>
      <w:r>
        <w:rPr>
          <w:rFonts w:hint="eastAsia" w:ascii="微软雅黑" w:hAnsi="微软雅黑" w:eastAsia="微软雅黑" w:cs="微软雅黑"/>
          <w:sz w:val="44"/>
          <w:szCs w:val="44"/>
        </w:rPr>
        <w:t>免责声明</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本手册中的信息已仔细检查，上海大因多媒体技术有限公司L</w:t>
      </w:r>
      <w:r>
        <w:rPr>
          <w:rFonts w:ascii="微软雅黑" w:hAnsi="微软雅黑" w:eastAsia="微软雅黑" w:cs="微软雅黑"/>
          <w:sz w:val="24"/>
          <w:szCs w:val="24"/>
        </w:rPr>
        <w:t>ED</w:t>
      </w:r>
      <w:r>
        <w:rPr>
          <w:rFonts w:hint="eastAsia" w:ascii="微软雅黑" w:hAnsi="微软雅黑" w:eastAsia="微软雅黑" w:cs="微软雅黑"/>
          <w:sz w:val="24"/>
          <w:szCs w:val="24"/>
        </w:rPr>
        <w:t>全彩屏技术不存在侵犯任何专利权或其他第三方权利。</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上海大因多媒体技术有限公司对任何不包含在本文档中的错误不承担任何责任，上海大因多媒体技术有限公司也不承诺在本文档中更新或保持最新信息。</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上海大因多媒体技术有限公司保留对此文档或产品进行改进的权利，恕不另行通知。</w:t>
      </w:r>
    </w:p>
    <w:p>
      <w:pPr>
        <w:spacing w:line="260" w:lineRule="atLeast"/>
        <w:ind w:firstLine="880" w:firstLineChars="200"/>
        <w:jc w:val="left"/>
        <w:rPr>
          <w:rFonts w:ascii="微软雅黑" w:hAnsi="微软雅黑" w:eastAsia="微软雅黑" w:cs="微软雅黑"/>
          <w:sz w:val="44"/>
          <w:szCs w:val="44"/>
        </w:rPr>
      </w:pPr>
      <w:r>
        <w:rPr>
          <w:rFonts w:hint="eastAsia" w:ascii="微软雅黑" w:hAnsi="微软雅黑" w:eastAsia="微软雅黑" w:cs="微软雅黑"/>
          <w:sz w:val="44"/>
          <w:szCs w:val="44"/>
        </w:rPr>
        <w:t>版权声明</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本文档的任何部分均不得复制，传播，转录，存储在检索系统中或翻译的任何部分转换成任何语言或计算机文件，未经明确的书面许可不得以任何形式或任何方式-电子，手册转载。</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w:t>
      </w:r>
      <w:r>
        <w:rPr>
          <w:rFonts w:hint="eastAsia" w:ascii="微软雅黑" w:hAnsi="微软雅黑" w:eastAsia="微软雅黑" w:cs="微软雅黑"/>
          <w:sz w:val="24"/>
          <w:szCs w:val="24"/>
        </w:rPr>
        <w:t>上海大因多媒体技术有限公司</w:t>
      </w:r>
      <w:r>
        <w:rPr>
          <w:rFonts w:ascii="微软雅黑" w:hAnsi="微软雅黑" w:eastAsia="微软雅黑" w:cs="微软雅黑"/>
          <w:sz w:val="24"/>
          <w:szCs w:val="24"/>
        </w:rPr>
        <w:t>版权所有20</w:t>
      </w:r>
      <w:r>
        <w:rPr>
          <w:rFonts w:hint="eastAsia" w:ascii="微软雅黑" w:hAnsi="微软雅黑" w:eastAsia="微软雅黑" w:cs="微软雅黑"/>
          <w:sz w:val="24"/>
          <w:szCs w:val="24"/>
        </w:rPr>
        <w:t>23</w:t>
      </w:r>
      <w:r>
        <w:rPr>
          <w:rFonts w:ascii="微软雅黑" w:hAnsi="微软雅黑" w:eastAsia="微软雅黑" w:cs="微软雅黑"/>
          <w:sz w:val="24"/>
          <w:szCs w:val="24"/>
        </w:rPr>
        <w:t>。</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版权所有。</w:t>
      </w:r>
    </w:p>
    <w:p>
      <w:pPr>
        <w:widowControl/>
        <w:jc w:val="left"/>
        <w:rPr>
          <w:rFonts w:ascii="微软雅黑" w:hAnsi="微软雅黑" w:eastAsia="微软雅黑" w:cs="微软雅黑"/>
          <w:sz w:val="24"/>
          <w:szCs w:val="24"/>
        </w:rPr>
      </w:pPr>
      <w:r>
        <w:rPr>
          <w:rFonts w:ascii="微软雅黑" w:hAnsi="微软雅黑" w:eastAsia="微软雅黑" w:cs="微软雅黑"/>
          <w:sz w:val="24"/>
          <w:szCs w:val="24"/>
        </w:rPr>
        <w:br w:type="page"/>
      </w:r>
    </w:p>
    <w:p>
      <w:pPr>
        <w:spacing w:line="260" w:lineRule="atLeast"/>
        <w:ind w:firstLine="880" w:firstLineChars="200"/>
        <w:jc w:val="left"/>
        <w:rPr>
          <w:rFonts w:ascii="微软雅黑" w:hAnsi="微软雅黑" w:eastAsia="微软雅黑" w:cs="微软雅黑"/>
          <w:sz w:val="44"/>
          <w:szCs w:val="44"/>
        </w:rPr>
      </w:pPr>
      <w:r>
        <w:rPr>
          <w:rFonts w:ascii="微软雅黑" w:hAnsi="微软雅黑" w:eastAsia="微软雅黑" w:cs="微软雅黑"/>
          <w:sz w:val="44"/>
          <w:szCs w:val="44"/>
        </w:rPr>
        <w:t>安全须知</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请先阅读所有说明，然后再尝试打开包装，安装或在连接电源之前，请操作本设备。打开包装并安装设备时，请记住以下几点：</w:t>
      </w:r>
    </w:p>
    <w:p>
      <w:pPr>
        <w:spacing w:line="260" w:lineRule="atLeast"/>
        <w:ind w:firstLine="480" w:firstLineChars="200"/>
        <w:jc w:val="left"/>
        <w:rPr>
          <w:rFonts w:ascii="微软雅黑" w:hAnsi="微软雅黑" w:eastAsia="微软雅黑" w:cs="微软雅黑"/>
          <w:sz w:val="24"/>
          <w:szCs w:val="24"/>
        </w:rPr>
      </w:pPr>
      <w:r>
        <w:rPr>
          <w:rFonts w:ascii="Arial" w:hAnsi="Arial" w:eastAsia="微软雅黑" w:cs="Arial"/>
          <w:sz w:val="24"/>
          <w:szCs w:val="24"/>
        </w:rPr>
        <w:t>＊</w:t>
      </w:r>
      <w:r>
        <w:rPr>
          <w:rFonts w:ascii="微软雅黑" w:hAnsi="微软雅黑" w:eastAsia="微软雅黑" w:cs="微软雅黑"/>
          <w:sz w:val="24"/>
          <w:szCs w:val="24"/>
        </w:rPr>
        <w:t>始终遵循基本的安全预防措施，以减少火灾风险，电击和人身伤害。</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＊为避免起火或电击危险，请勿将本机淋雨，潮湿或将本产品安装在靠近水的地方。</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＊切勿将任何液体溅到本产品之上或之中</w:t>
      </w:r>
      <w:r>
        <w:rPr>
          <w:rFonts w:hint="eastAsia" w:ascii="Arial" w:hAnsi="Arial" w:eastAsia="微软雅黑" w:cs="Arial"/>
          <w:sz w:val="24"/>
          <w:szCs w:val="24"/>
        </w:rPr>
        <w:t>。</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＊切勿通过任何方式将任何物体塞入本产品设备上的开口或空槽，因为可能会损坏单元内部零件。</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＊请勿将电源线连接到建筑物表面。</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＊仅使用随附的电源设备。 如果电源已损坏请勿使用。</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＊请勿在电源线上放置任何物品在或放置</w:t>
      </w:r>
      <w:r>
        <w:rPr>
          <w:rFonts w:hint="eastAsia" w:ascii="Arial" w:hAnsi="Arial" w:eastAsia="微软雅黑" w:cs="Arial"/>
          <w:sz w:val="24"/>
          <w:szCs w:val="24"/>
        </w:rPr>
        <w:t>在</w:t>
      </w:r>
      <w:r>
        <w:rPr>
          <w:rFonts w:ascii="Arial" w:hAnsi="Arial" w:eastAsia="微软雅黑" w:cs="Arial"/>
          <w:sz w:val="24"/>
          <w:szCs w:val="24"/>
        </w:rPr>
        <w:t>人</w:t>
      </w:r>
      <w:r>
        <w:rPr>
          <w:rFonts w:hint="eastAsia" w:ascii="Arial" w:hAnsi="Arial" w:eastAsia="微软雅黑" w:cs="Arial"/>
          <w:sz w:val="24"/>
          <w:szCs w:val="24"/>
        </w:rPr>
        <w:t>行走的通道上</w:t>
      </w:r>
      <w:r>
        <w:rPr>
          <w:rFonts w:ascii="Arial" w:hAnsi="Arial" w:eastAsia="微软雅黑" w:cs="Arial"/>
          <w:sz w:val="24"/>
          <w:szCs w:val="24"/>
        </w:rPr>
        <w:t>。</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＊为防止设备过热，请勿</w:t>
      </w:r>
      <w:r>
        <w:rPr>
          <w:rFonts w:hint="eastAsia" w:ascii="Arial" w:hAnsi="Arial" w:eastAsia="微软雅黑" w:cs="Arial"/>
          <w:sz w:val="24"/>
          <w:szCs w:val="24"/>
        </w:rPr>
        <w:t>将所有设备堆叠在一起</w:t>
      </w:r>
      <w:r>
        <w:rPr>
          <w:rFonts w:ascii="Arial" w:hAnsi="Arial" w:eastAsia="微软雅黑" w:cs="Arial"/>
          <w:sz w:val="24"/>
          <w:szCs w:val="24"/>
        </w:rPr>
        <w:t>或提供通风并允许足够的空间使空气在设备周围流通。</w:t>
      </w:r>
    </w:p>
    <w:p>
      <w:pPr>
        <w:pStyle w:val="2"/>
        <w:ind w:firstLine="480" w:firstLineChars="200"/>
      </w:pPr>
      <w:r>
        <w:rPr>
          <w:rFonts w:ascii="Arial" w:hAnsi="Arial" w:eastAsia="微软雅黑" w:cs="Arial"/>
        </w:rPr>
        <w:t>＊</w:t>
      </w:r>
      <w:r>
        <w:rPr>
          <w:rFonts w:hint="eastAsia" w:ascii="Arial" w:hAnsi="Arial" w:eastAsia="微软雅黑" w:cs="Arial"/>
        </w:rPr>
        <w:t>警告：本产品属于A类设备。在居住环境中，运行此设备可能会造成无线电干扰。</w:t>
      </w:r>
    </w:p>
    <w:p>
      <w:pPr>
        <w:widowControl/>
        <w:jc w:val="left"/>
        <w:rPr>
          <w:rFonts w:ascii="Arial" w:hAnsi="Arial" w:eastAsia="微软雅黑" w:cs="Arial"/>
          <w:sz w:val="28"/>
          <w:szCs w:val="28"/>
        </w:rPr>
      </w:pPr>
      <w:r>
        <w:rPr>
          <w:rFonts w:ascii="Arial" w:hAnsi="Arial" w:eastAsia="微软雅黑" w:cs="Arial"/>
          <w:sz w:val="28"/>
          <w:szCs w:val="28"/>
        </w:rPr>
        <w:br w:type="page"/>
      </w:r>
    </w:p>
    <w:p>
      <w:pPr>
        <w:spacing w:line="260" w:lineRule="atLeast"/>
        <w:ind w:firstLine="880" w:firstLineChars="200"/>
        <w:jc w:val="center"/>
        <w:rPr>
          <w:rFonts w:ascii="微软雅黑" w:hAnsi="微软雅黑" w:eastAsia="微软雅黑" w:cs="微软雅黑"/>
          <w:sz w:val="44"/>
          <w:szCs w:val="44"/>
        </w:rPr>
      </w:pPr>
      <w:r>
        <w:rPr>
          <w:rFonts w:hint="eastAsia" w:ascii="微软雅黑" w:hAnsi="微软雅黑" w:eastAsia="微软雅黑" w:cs="微软雅黑"/>
          <w:sz w:val="44"/>
          <w:szCs w:val="44"/>
        </w:rPr>
        <w:t>修订记录</w:t>
      </w:r>
    </w:p>
    <w:tbl>
      <w:tblPr>
        <w:tblStyle w:val="15"/>
        <w:tblW w:w="10485" w:type="dxa"/>
        <w:jc w:val="center"/>
        <w:tblLayout w:type="fixed"/>
        <w:tblCellMar>
          <w:top w:w="0" w:type="dxa"/>
          <w:left w:w="0" w:type="dxa"/>
          <w:bottom w:w="0" w:type="dxa"/>
          <w:right w:w="0" w:type="dxa"/>
        </w:tblCellMar>
      </w:tblPr>
      <w:tblGrid>
        <w:gridCol w:w="1473"/>
        <w:gridCol w:w="2338"/>
        <w:gridCol w:w="4264"/>
        <w:gridCol w:w="2410"/>
      </w:tblGrid>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版本号</w:t>
            </w:r>
          </w:p>
        </w:tc>
        <w:tc>
          <w:tcPr>
            <w:tcW w:w="2338"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日期</w:t>
            </w:r>
          </w:p>
        </w:tc>
        <w:tc>
          <w:tcPr>
            <w:tcW w:w="4264"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变更内容</w:t>
            </w:r>
          </w:p>
        </w:tc>
        <w:tc>
          <w:tcPr>
            <w:tcW w:w="2410" w:type="dxa"/>
            <w:tcBorders>
              <w:top w:val="single" w:color="000000" w:sz="4" w:space="0"/>
              <w:left w:val="single" w:color="000000" w:sz="4" w:space="0"/>
              <w:bottom w:val="single" w:color="000000" w:sz="4" w:space="0"/>
              <w:right w:val="single" w:color="000000" w:sz="4" w:space="0"/>
            </w:tcBorders>
            <w:shd w:val="clear" w:color="auto" w:fill="C6E0B4"/>
          </w:tcPr>
          <w:p>
            <w:pPr>
              <w:widowControl/>
              <w:spacing w:line="260" w:lineRule="atLeast"/>
              <w:jc w:val="center"/>
              <w:textAlignment w:val="center"/>
              <w:rPr>
                <w:rFonts w:ascii="微软雅黑" w:hAnsi="微软雅黑" w:eastAsia="微软雅黑" w:cs="微软雅黑"/>
                <w:color w:val="000000"/>
                <w:kern w:val="0"/>
                <w:sz w:val="24"/>
                <w:szCs w:val="24"/>
                <w:lang w:bidi="ar"/>
              </w:rPr>
            </w:pPr>
            <w:r>
              <w:rPr>
                <w:rFonts w:hint="eastAsia" w:ascii="微软雅黑" w:hAnsi="微软雅黑" w:eastAsia="微软雅黑" w:cs="微软雅黑"/>
                <w:color w:val="000000"/>
                <w:kern w:val="0"/>
                <w:sz w:val="24"/>
                <w:szCs w:val="24"/>
                <w:lang w:bidi="ar"/>
              </w:rPr>
              <w:t>备注</w:t>
            </w:r>
          </w:p>
        </w:tc>
      </w:tr>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V</w:t>
            </w:r>
            <w:r>
              <w:rPr>
                <w:rFonts w:ascii="微软雅黑" w:hAnsi="微软雅黑" w:eastAsia="微软雅黑" w:cs="微软雅黑"/>
                <w:color w:val="000000"/>
                <w:sz w:val="24"/>
                <w:szCs w:val="24"/>
              </w:rPr>
              <w:t>1.0</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2022年1</w:t>
            </w:r>
            <w:r>
              <w:rPr>
                <w:rFonts w:hint="eastAsia" w:ascii="微软雅黑" w:hAnsi="微软雅黑" w:eastAsia="微软雅黑" w:cs="微软雅黑"/>
                <w:color w:val="000000"/>
                <w:sz w:val="24"/>
                <w:szCs w:val="24"/>
                <w:lang w:val="en-US" w:eastAsia="zh-CN"/>
              </w:rPr>
              <w:t>1</w:t>
            </w:r>
            <w:r>
              <w:rPr>
                <w:rFonts w:hint="eastAsia" w:ascii="微软雅黑" w:hAnsi="微软雅黑" w:eastAsia="微软雅黑" w:cs="微软雅黑"/>
                <w:color w:val="000000"/>
                <w:sz w:val="24"/>
                <w:szCs w:val="24"/>
              </w:rPr>
              <w:t>月15日</w:t>
            </w:r>
          </w:p>
        </w:tc>
        <w:tc>
          <w:tcPr>
            <w:tcW w:w="4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60" w:lineRule="atLeast"/>
              <w:jc w:val="center"/>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新版制定</w:t>
            </w:r>
          </w:p>
        </w:tc>
        <w:tc>
          <w:tcPr>
            <w:tcW w:w="2410" w:type="dxa"/>
            <w:tcBorders>
              <w:top w:val="single" w:color="000000" w:sz="4" w:space="0"/>
              <w:left w:val="single" w:color="000000" w:sz="4" w:space="0"/>
              <w:bottom w:val="single" w:color="000000" w:sz="4" w:space="0"/>
              <w:right w:val="single" w:color="000000" w:sz="4" w:space="0"/>
            </w:tcBorders>
          </w:tcPr>
          <w:p>
            <w:pPr>
              <w:spacing w:line="260" w:lineRule="atLeast"/>
              <w:jc w:val="left"/>
              <w:rPr>
                <w:rFonts w:ascii="微软雅黑" w:hAnsi="微软雅黑" w:eastAsia="微软雅黑" w:cs="微软雅黑"/>
                <w:color w:val="000000"/>
                <w:sz w:val="24"/>
                <w:szCs w:val="24"/>
              </w:rPr>
            </w:pPr>
          </w:p>
        </w:tc>
      </w:tr>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p>
        </w:tc>
        <w:tc>
          <w:tcPr>
            <w:tcW w:w="4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60" w:lineRule="atLeast"/>
              <w:jc w:val="left"/>
              <w:rPr>
                <w:rFonts w:ascii="微软雅黑" w:hAnsi="微软雅黑" w:eastAsia="微软雅黑" w:cs="微软雅黑"/>
                <w:color w:val="000000"/>
                <w:sz w:val="24"/>
                <w:szCs w:val="24"/>
              </w:rPr>
            </w:pPr>
          </w:p>
        </w:tc>
        <w:tc>
          <w:tcPr>
            <w:tcW w:w="2410" w:type="dxa"/>
            <w:tcBorders>
              <w:top w:val="single" w:color="000000" w:sz="4" w:space="0"/>
              <w:left w:val="single" w:color="000000" w:sz="4" w:space="0"/>
              <w:bottom w:val="single" w:color="000000" w:sz="4" w:space="0"/>
              <w:right w:val="single" w:color="000000" w:sz="4" w:space="0"/>
            </w:tcBorders>
          </w:tcPr>
          <w:p>
            <w:pPr>
              <w:spacing w:line="260" w:lineRule="atLeast"/>
              <w:jc w:val="left"/>
              <w:rPr>
                <w:rFonts w:ascii="微软雅黑" w:hAnsi="微软雅黑" w:eastAsia="微软雅黑" w:cs="微软雅黑"/>
                <w:color w:val="000000"/>
                <w:sz w:val="24"/>
                <w:szCs w:val="24"/>
              </w:rPr>
            </w:pPr>
          </w:p>
        </w:tc>
      </w:tr>
    </w:tbl>
    <w:p>
      <w:pPr>
        <w:pStyle w:val="2"/>
      </w:pPr>
    </w:p>
    <w:p>
      <w:pPr>
        <w:pStyle w:val="2"/>
      </w:pPr>
    </w:p>
    <w:p>
      <w:pPr>
        <w:widowControl/>
        <w:jc w:val="left"/>
        <w:rPr>
          <w:rFonts w:ascii="宋体" w:hAnsi="Times New Roman" w:eastAsia="宋体" w:cs="宋体"/>
          <w:color w:val="000000"/>
          <w:kern w:val="0"/>
          <w:sz w:val="24"/>
          <w:szCs w:val="24"/>
        </w:rPr>
      </w:pPr>
      <w:r>
        <w:br w:type="page"/>
      </w:r>
    </w:p>
    <w:p>
      <w:pPr>
        <w:pStyle w:val="25"/>
        <w:numPr>
          <w:ilvl w:val="0"/>
          <w:numId w:val="1"/>
        </w:numPr>
        <w:spacing w:before="312" w:beforeLines="100" w:after="312" w:afterLines="100" w:line="440" w:lineRule="exact"/>
        <w:ind w:firstLineChars="0"/>
        <w:outlineLvl w:val="0"/>
        <w:rPr>
          <w:rFonts w:ascii="微软雅黑" w:hAnsi="微软雅黑" w:eastAsia="微软雅黑" w:cs="微软雅黑"/>
          <w:b/>
          <w:bCs/>
          <w:sz w:val="36"/>
          <w:szCs w:val="36"/>
        </w:rPr>
      </w:pPr>
      <w:r>
        <w:rPr>
          <w:rFonts w:hint="eastAsia" w:ascii="微软雅黑" w:hAnsi="微软雅黑" w:eastAsia="微软雅黑" w:cs="微软雅黑"/>
          <w:b/>
          <w:bCs/>
          <w:sz w:val="36"/>
          <w:szCs w:val="36"/>
        </w:rPr>
        <w:t>适用范围</w:t>
      </w:r>
    </w:p>
    <w:p>
      <w:pPr>
        <w:spacing w:before="317" w:line="250" w:lineRule="exact"/>
        <w:ind w:firstLine="480" w:firstLineChars="200"/>
        <w:rPr>
          <w:rFonts w:ascii="微软雅黑" w:hAnsi="微软雅黑" w:eastAsia="微软雅黑"/>
          <w:color w:val="000000"/>
          <w:sz w:val="24"/>
          <w:szCs w:val="24"/>
        </w:rPr>
      </w:pPr>
      <w:r>
        <w:rPr>
          <w:rFonts w:ascii="微软雅黑" w:hAnsi="微软雅黑" w:eastAsia="微软雅黑" w:cs="宋体"/>
          <w:color w:val="000000"/>
          <w:sz w:val="24"/>
          <w:szCs w:val="24"/>
        </w:rPr>
        <w:t>本技术手册仅适用于室内全彩</w:t>
      </w:r>
      <w:r>
        <w:rPr>
          <w:rFonts w:ascii="微软雅黑" w:hAnsi="微软雅黑" w:eastAsia="微软雅黑"/>
          <w:color w:val="000000"/>
          <w:sz w:val="24"/>
          <w:szCs w:val="24"/>
        </w:rPr>
        <w:t xml:space="preserve"> P2.5</w:t>
      </w:r>
      <w:r>
        <w:rPr>
          <w:rFonts w:ascii="微软雅黑" w:hAnsi="微软雅黑" w:eastAsia="微软雅黑" w:cs="宋体"/>
          <w:color w:val="000000"/>
          <w:sz w:val="24"/>
          <w:szCs w:val="24"/>
        </w:rPr>
        <w:t>单元板，以下为常规型产品参数，如有特殊需求可定制</w:t>
      </w:r>
    </w:p>
    <w:p>
      <w:pPr>
        <w:pStyle w:val="3"/>
        <w:spacing w:before="312" w:beforeLines="100" w:after="312" w:afterLines="100" w:line="360" w:lineRule="auto"/>
        <w:outlineLvl w:val="0"/>
        <w:rPr>
          <w:rFonts w:ascii="微软雅黑" w:hAnsi="微软雅黑" w:eastAsia="微软雅黑" w:cs="微软雅黑"/>
          <w:sz w:val="36"/>
          <w:szCs w:val="36"/>
        </w:rPr>
      </w:pPr>
      <w:r>
        <w:rPr>
          <w:rFonts w:hint="eastAsia" w:ascii="微软雅黑" w:hAnsi="微软雅黑" w:eastAsia="微软雅黑" w:cs="微软雅黑"/>
          <w:sz w:val="36"/>
          <w:szCs w:val="36"/>
        </w:rPr>
        <w:t>二、注意事项</w:t>
      </w:r>
    </w:p>
    <w:tbl>
      <w:tblPr>
        <w:tblStyle w:val="15"/>
        <w:tblpPr w:leftFromText="180" w:rightFromText="180" w:vertAnchor="text" w:horzAnchor="margin" w:tblpY="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2408"/>
        <w:gridCol w:w="6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3128" w:type="dxa"/>
            <w:gridSpan w:val="2"/>
          </w:tcPr>
          <w:p>
            <w:pPr>
              <w:widowControl/>
              <w:jc w:val="center"/>
              <w:rPr>
                <w:rFonts w:asciiTheme="minorEastAsia" w:hAnsiTheme="minorEastAsia"/>
                <w:sz w:val="20"/>
                <w:szCs w:val="20"/>
              </w:rPr>
            </w:pPr>
            <w:r>
              <w:rPr>
                <w:rFonts w:asciiTheme="minorEastAsia" w:hAnsiTheme="minorEastAsia" w:eastAsiaTheme="minorEastAsia"/>
                <w:sz w:val="20"/>
                <w:szCs w:val="20"/>
              </w:rPr>
              <w:t>项目</w:t>
            </w:r>
          </w:p>
        </w:tc>
        <w:tc>
          <w:tcPr>
            <w:tcW w:w="6165" w:type="dxa"/>
            <w:shd w:val="clear" w:color="auto" w:fill="auto"/>
          </w:tcPr>
          <w:p>
            <w:pPr>
              <w:widowControl/>
              <w:jc w:val="center"/>
              <w:rPr>
                <w:rFonts w:asciiTheme="minorEastAsia" w:hAnsiTheme="minorEastAsia"/>
                <w:sz w:val="20"/>
                <w:szCs w:val="20"/>
              </w:rPr>
            </w:pPr>
            <w:r>
              <w:rPr>
                <w:rFonts w:asciiTheme="minorEastAsia" w:hAnsiTheme="minorEastAsia" w:eastAsiaTheme="minorEastAsia"/>
                <w:sz w:val="20"/>
                <w:szCs w:val="20"/>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720" w:type="dxa"/>
            <w:vMerge w:val="restart"/>
          </w:tcPr>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r>
              <w:rPr>
                <w:rFonts w:asciiTheme="minorEastAsia" w:hAnsiTheme="minorEastAsia" w:eastAsiaTheme="minorEastAsia"/>
                <w:sz w:val="20"/>
                <w:szCs w:val="20"/>
              </w:rPr>
              <w:t>环境 注意 事项</w:t>
            </w: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tc>
        <w:tc>
          <w:tcPr>
            <w:tcW w:w="2408" w:type="dxa"/>
            <w:shd w:val="clear" w:color="auto" w:fill="auto"/>
          </w:tcPr>
          <w:p>
            <w:pPr>
              <w:widowControl/>
              <w:jc w:val="center"/>
              <w:rPr>
                <w:rFonts w:asciiTheme="minorEastAsia" w:hAnsiTheme="minorEastAsia"/>
                <w:sz w:val="20"/>
                <w:szCs w:val="20"/>
              </w:rPr>
            </w:pPr>
            <w:r>
              <w:rPr>
                <w:rFonts w:asciiTheme="minorEastAsia" w:hAnsiTheme="minorEastAsia"/>
                <w:sz w:val="20"/>
                <w:szCs w:val="20"/>
              </w:rPr>
              <w:t>温度要求</w:t>
            </w:r>
          </w:p>
        </w:tc>
        <w:tc>
          <w:tcPr>
            <w:tcW w:w="6165"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存储温度范围：-10</w:t>
            </w:r>
            <w:r>
              <w:rPr>
                <w:rFonts w:hint="eastAsia" w:cs="宋体" w:asciiTheme="minorEastAsia" w:hAnsiTheme="minorEastAsia"/>
                <w:sz w:val="20"/>
                <w:szCs w:val="20"/>
              </w:rPr>
              <w:t>℃</w:t>
            </w:r>
            <w:r>
              <w:rPr>
                <w:rFonts w:asciiTheme="minorEastAsia" w:hAnsiTheme="minorEastAsia"/>
                <w:sz w:val="20"/>
                <w:szCs w:val="20"/>
              </w:rPr>
              <w:t>-30</w:t>
            </w:r>
            <w:r>
              <w:rPr>
                <w:rFonts w:hint="eastAsia" w:cs="宋体" w:asciiTheme="minorEastAsia" w:hAnsiTheme="minorEastAsia"/>
                <w:sz w:val="20"/>
                <w:szCs w:val="20"/>
              </w:rPr>
              <w:t>℃</w:t>
            </w:r>
            <w:r>
              <w:rPr>
                <w:rFonts w:asciiTheme="minorEastAsia" w:hAnsiTheme="minorEastAsia"/>
                <w:sz w:val="20"/>
                <w:szCs w:val="20"/>
              </w:rPr>
              <w:t>，超过 30</w:t>
            </w:r>
            <w:r>
              <w:rPr>
                <w:rFonts w:hint="eastAsia" w:cs="宋体" w:asciiTheme="minorEastAsia" w:hAnsiTheme="minorEastAsia"/>
                <w:sz w:val="20"/>
                <w:szCs w:val="20"/>
              </w:rPr>
              <w:t>℃</w:t>
            </w:r>
            <w:r>
              <w:rPr>
                <w:rFonts w:asciiTheme="minorEastAsia" w:hAnsiTheme="minorEastAsia"/>
                <w:sz w:val="20"/>
                <w:szCs w:val="20"/>
              </w:rPr>
              <w:t>需做降温处理。 工作温度范围：-20</w:t>
            </w:r>
            <w:r>
              <w:rPr>
                <w:rFonts w:hint="eastAsia" w:cs="宋体" w:asciiTheme="minorEastAsia" w:hAnsiTheme="minorEastAsia"/>
                <w:sz w:val="20"/>
                <w:szCs w:val="20"/>
              </w:rPr>
              <w:t>℃</w:t>
            </w:r>
            <w:r>
              <w:rPr>
                <w:rFonts w:asciiTheme="minorEastAsia" w:hAnsiTheme="minorEastAsia"/>
                <w:sz w:val="20"/>
                <w:szCs w:val="20"/>
              </w:rPr>
              <w:t>-40</w:t>
            </w:r>
            <w:r>
              <w:rPr>
                <w:rFonts w:hint="eastAsia" w:cs="宋体" w:asciiTheme="minorEastAsia" w:hAnsiTheme="minorEastAsia"/>
                <w:sz w:val="20"/>
                <w:szCs w:val="20"/>
              </w:rPr>
              <w:t>℃</w:t>
            </w:r>
            <w:r>
              <w:rPr>
                <w:rFonts w:asciiTheme="minorEastAsia" w:hAnsiTheme="minorEastAsia"/>
                <w:sz w:val="20"/>
                <w:szCs w:val="20"/>
              </w:rPr>
              <w:t>，其它温度范围，需加装温控设备。 单元板工作时灯面温度：≤60</w:t>
            </w:r>
            <w:r>
              <w:rPr>
                <w:rFonts w:hint="eastAsia" w:cs="宋体" w:asciiTheme="minorEastAsia" w:hAnsiTheme="minorEastAsia"/>
                <w:sz w:val="20"/>
                <w:szCs w:val="20"/>
              </w:rPr>
              <w:t>℃</w:t>
            </w:r>
            <w:r>
              <w:rPr>
                <w:rFonts w:asciiTheme="minorEastAsia" w:hAnsiTheme="minorEastAsia"/>
                <w:sz w:val="20"/>
                <w:szCs w:val="20"/>
              </w:rPr>
              <w:t>，温度超标需加装温控设备。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trPr>
        <w:tc>
          <w:tcPr>
            <w:tcW w:w="720" w:type="dxa"/>
            <w:vMerge w:val="continue"/>
          </w:tcPr>
          <w:p>
            <w:pPr>
              <w:pStyle w:val="2"/>
              <w:jc w:val="center"/>
              <w:rPr>
                <w:rFonts w:asciiTheme="minorEastAsia" w:hAnsiTheme="minorEastAsia" w:eastAsiaTheme="minorEastAsia"/>
                <w:sz w:val="20"/>
                <w:szCs w:val="20"/>
              </w:rPr>
            </w:pPr>
          </w:p>
        </w:tc>
        <w:tc>
          <w:tcPr>
            <w:tcW w:w="2408" w:type="dxa"/>
            <w:shd w:val="clear" w:color="auto" w:fill="auto"/>
          </w:tcPr>
          <w:p>
            <w:pPr>
              <w:jc w:val="center"/>
              <w:rPr>
                <w:rFonts w:asciiTheme="minorEastAsia" w:hAnsiTheme="minorEastAsia"/>
                <w:sz w:val="20"/>
                <w:szCs w:val="20"/>
              </w:rPr>
            </w:pPr>
            <w:r>
              <w:rPr>
                <w:rFonts w:asciiTheme="minorEastAsia" w:hAnsiTheme="minorEastAsia"/>
                <w:sz w:val="20"/>
                <w:szCs w:val="20"/>
              </w:rPr>
              <w:t>湿度要求</w:t>
            </w:r>
          </w:p>
        </w:tc>
        <w:tc>
          <w:tcPr>
            <w:tcW w:w="6165" w:type="dxa"/>
            <w:shd w:val="clear" w:color="auto" w:fill="auto"/>
          </w:tcPr>
          <w:p>
            <w:pPr>
              <w:jc w:val="left"/>
              <w:rPr>
                <w:rFonts w:asciiTheme="minorEastAsia" w:hAnsiTheme="minorEastAsia"/>
                <w:sz w:val="20"/>
                <w:szCs w:val="20"/>
              </w:rPr>
            </w:pPr>
            <w:r>
              <w:rPr>
                <w:rFonts w:asciiTheme="minorEastAsia" w:hAnsiTheme="minorEastAsia"/>
                <w:sz w:val="20"/>
                <w:szCs w:val="20"/>
              </w:rPr>
              <w:t>存储湿度范围：10%RH-60%RH，湿度超过 60%RH 需除湿处理。 工作湿度范围：10%RH -65%RH，湿度超标需对使用环境除湿处理 后才能正常使用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trPr>
        <w:tc>
          <w:tcPr>
            <w:tcW w:w="720" w:type="dxa"/>
            <w:vMerge w:val="continue"/>
          </w:tcPr>
          <w:p>
            <w:pPr>
              <w:pStyle w:val="2"/>
              <w:jc w:val="center"/>
              <w:rPr>
                <w:rFonts w:asciiTheme="minorEastAsia" w:hAnsiTheme="minorEastAsia" w:eastAsiaTheme="minorEastAsia"/>
                <w:sz w:val="20"/>
                <w:szCs w:val="20"/>
              </w:rPr>
            </w:pPr>
          </w:p>
        </w:tc>
        <w:tc>
          <w:tcPr>
            <w:tcW w:w="2408" w:type="dxa"/>
            <w:shd w:val="clear" w:color="auto" w:fill="auto"/>
          </w:tcPr>
          <w:p>
            <w:pPr>
              <w:jc w:val="center"/>
              <w:rPr>
                <w:rFonts w:asciiTheme="minorEastAsia" w:hAnsiTheme="minorEastAsia"/>
                <w:sz w:val="20"/>
                <w:szCs w:val="20"/>
              </w:rPr>
            </w:pPr>
            <w:r>
              <w:rPr>
                <w:rFonts w:asciiTheme="minorEastAsia" w:hAnsiTheme="minorEastAsia"/>
                <w:sz w:val="20"/>
                <w:szCs w:val="20"/>
              </w:rPr>
              <w:t>存放超期处理</w:t>
            </w:r>
          </w:p>
        </w:tc>
        <w:tc>
          <w:tcPr>
            <w:tcW w:w="6165" w:type="dxa"/>
            <w:shd w:val="clear" w:color="auto" w:fill="auto"/>
          </w:tcPr>
          <w:p>
            <w:pPr>
              <w:jc w:val="left"/>
              <w:rPr>
                <w:rFonts w:asciiTheme="minorEastAsia" w:hAnsiTheme="minorEastAsia"/>
                <w:sz w:val="20"/>
                <w:szCs w:val="20"/>
              </w:rPr>
            </w:pPr>
            <w:r>
              <w:rPr>
                <w:rFonts w:asciiTheme="minorEastAsia" w:hAnsiTheme="minorEastAsia"/>
                <w:sz w:val="20"/>
                <w:szCs w:val="20"/>
              </w:rPr>
              <w:t>产品存放时间超过一个月，使用前需经过 6 小时的老化后才能正 常使用。老化方式为：全亮亮度设置 10% 1H, 全亮亮度设置 30% 1H, 全亮亮度设置 60% 2H, 全亮亮度设置 80% 1H, 全亮亮度设 置 100% 1H（亮度逐渐递增老化）。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720" w:type="dxa"/>
            <w:vMerge w:val="continue"/>
          </w:tcPr>
          <w:p>
            <w:pPr>
              <w:pStyle w:val="2"/>
              <w:jc w:val="center"/>
              <w:rPr>
                <w:rFonts w:asciiTheme="minorEastAsia" w:hAnsiTheme="minorEastAsia" w:eastAsiaTheme="minorEastAsia"/>
                <w:sz w:val="20"/>
                <w:szCs w:val="20"/>
              </w:rPr>
            </w:pPr>
          </w:p>
        </w:tc>
        <w:tc>
          <w:tcPr>
            <w:tcW w:w="2408" w:type="dxa"/>
            <w:shd w:val="clear" w:color="auto" w:fill="auto"/>
          </w:tcPr>
          <w:p>
            <w:pPr>
              <w:jc w:val="center"/>
              <w:rPr>
                <w:rFonts w:asciiTheme="minorEastAsia" w:hAnsiTheme="minorEastAsia"/>
                <w:sz w:val="20"/>
                <w:szCs w:val="20"/>
              </w:rPr>
            </w:pPr>
            <w:r>
              <w:rPr>
                <w:rFonts w:asciiTheme="minorEastAsia" w:hAnsiTheme="minorEastAsia"/>
                <w:sz w:val="20"/>
                <w:szCs w:val="20"/>
              </w:rPr>
              <w:t>防尘要求</w:t>
            </w:r>
          </w:p>
        </w:tc>
        <w:tc>
          <w:tcPr>
            <w:tcW w:w="6165" w:type="dxa"/>
            <w:shd w:val="clear" w:color="auto" w:fill="auto"/>
          </w:tcPr>
          <w:p>
            <w:pPr>
              <w:jc w:val="left"/>
              <w:rPr>
                <w:rFonts w:asciiTheme="minorEastAsia" w:hAnsiTheme="minorEastAsia"/>
                <w:sz w:val="20"/>
                <w:szCs w:val="20"/>
              </w:rPr>
            </w:pPr>
            <w:r>
              <w:rPr>
                <w:rFonts w:asciiTheme="minorEastAsia" w:hAnsiTheme="minorEastAsia"/>
                <w:sz w:val="20"/>
                <w:szCs w:val="20"/>
              </w:rPr>
              <w:t>室内产品无防护等级或 IP30，显示屏不应暴露在尘埃较多的环境 中，比如演播室装修、改造等，需对显示屏进行特殊防护。装修 时不能安装 LED 显示屏。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720" w:type="dxa"/>
            <w:vMerge w:val="continue"/>
          </w:tcPr>
          <w:p>
            <w:pPr>
              <w:pStyle w:val="2"/>
              <w:jc w:val="center"/>
              <w:rPr>
                <w:rFonts w:asciiTheme="minorEastAsia" w:hAnsiTheme="minorEastAsia" w:eastAsiaTheme="minorEastAsia"/>
                <w:sz w:val="20"/>
                <w:szCs w:val="20"/>
              </w:rPr>
            </w:pPr>
          </w:p>
        </w:tc>
        <w:tc>
          <w:tcPr>
            <w:tcW w:w="2408" w:type="dxa"/>
            <w:shd w:val="clear" w:color="auto" w:fill="auto"/>
          </w:tcPr>
          <w:p>
            <w:pPr>
              <w:jc w:val="center"/>
              <w:rPr>
                <w:rFonts w:asciiTheme="minorEastAsia" w:hAnsiTheme="minorEastAsia"/>
                <w:sz w:val="20"/>
                <w:szCs w:val="20"/>
              </w:rPr>
            </w:pPr>
            <w:r>
              <w:rPr>
                <w:rFonts w:asciiTheme="minorEastAsia" w:hAnsiTheme="minorEastAsia"/>
                <w:sz w:val="20"/>
                <w:szCs w:val="20"/>
              </w:rPr>
              <w:t>防腐蚀性气体</w:t>
            </w:r>
          </w:p>
        </w:tc>
        <w:tc>
          <w:tcPr>
            <w:tcW w:w="6165" w:type="dxa"/>
            <w:shd w:val="clear" w:color="auto" w:fill="auto"/>
          </w:tcPr>
          <w:p>
            <w:pPr>
              <w:jc w:val="left"/>
              <w:rPr>
                <w:rFonts w:asciiTheme="minorEastAsia" w:hAnsiTheme="minorEastAsia"/>
                <w:sz w:val="20"/>
                <w:szCs w:val="20"/>
              </w:rPr>
            </w:pPr>
            <w:r>
              <w:rPr>
                <w:rFonts w:asciiTheme="minorEastAsia" w:hAnsiTheme="minorEastAsia"/>
                <w:sz w:val="20"/>
                <w:szCs w:val="20"/>
              </w:rPr>
              <w:t>腐蚀性气体在空气中含有盐或酸气的环境中，会造成电子元件的 腐蚀、结晶漏电等现象。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720" w:type="dxa"/>
            <w:vMerge w:val="continue"/>
          </w:tcPr>
          <w:p>
            <w:pPr>
              <w:pStyle w:val="2"/>
              <w:jc w:val="center"/>
              <w:rPr>
                <w:rFonts w:asciiTheme="minorEastAsia" w:hAnsiTheme="minorEastAsia" w:eastAsiaTheme="minorEastAsia"/>
                <w:sz w:val="20"/>
                <w:szCs w:val="20"/>
              </w:rPr>
            </w:pPr>
          </w:p>
        </w:tc>
        <w:tc>
          <w:tcPr>
            <w:tcW w:w="2408" w:type="dxa"/>
            <w:shd w:val="clear" w:color="auto" w:fill="auto"/>
          </w:tcPr>
          <w:p>
            <w:pPr>
              <w:jc w:val="center"/>
              <w:rPr>
                <w:rFonts w:asciiTheme="minorEastAsia" w:hAnsiTheme="minorEastAsia"/>
                <w:sz w:val="20"/>
                <w:szCs w:val="20"/>
              </w:rPr>
            </w:pPr>
            <w:r>
              <w:rPr>
                <w:rFonts w:asciiTheme="minorEastAsia" w:hAnsiTheme="minorEastAsia"/>
                <w:sz w:val="20"/>
                <w:szCs w:val="20"/>
              </w:rPr>
              <w:t>防电磁辐射</w:t>
            </w:r>
          </w:p>
        </w:tc>
        <w:tc>
          <w:tcPr>
            <w:tcW w:w="6165" w:type="dxa"/>
            <w:shd w:val="clear" w:color="auto" w:fill="auto"/>
          </w:tcPr>
          <w:p>
            <w:pPr>
              <w:jc w:val="left"/>
              <w:rPr>
                <w:rFonts w:asciiTheme="minorEastAsia" w:hAnsiTheme="minorEastAsia"/>
                <w:sz w:val="20"/>
                <w:szCs w:val="20"/>
              </w:rPr>
            </w:pPr>
            <w:r>
              <w:rPr>
                <w:rFonts w:asciiTheme="minorEastAsia" w:hAnsiTheme="minorEastAsia"/>
                <w:sz w:val="20"/>
                <w:szCs w:val="20"/>
              </w:rPr>
              <w:t>显示屏不宜安置在电磁辐射、射频辐射超过场强 5V/m 干扰源的环 境中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20" w:type="dxa"/>
            <w:vMerge w:val="continue"/>
          </w:tcPr>
          <w:p>
            <w:pPr>
              <w:pStyle w:val="2"/>
              <w:jc w:val="center"/>
              <w:rPr>
                <w:rFonts w:asciiTheme="minorEastAsia" w:hAnsiTheme="minorEastAsia" w:eastAsiaTheme="minorEastAsia"/>
                <w:sz w:val="20"/>
                <w:szCs w:val="20"/>
              </w:rPr>
            </w:pPr>
          </w:p>
        </w:tc>
        <w:tc>
          <w:tcPr>
            <w:tcW w:w="2408" w:type="dxa"/>
            <w:shd w:val="clear" w:color="auto" w:fill="auto"/>
          </w:tcPr>
          <w:p>
            <w:pPr>
              <w:jc w:val="center"/>
              <w:rPr>
                <w:rFonts w:asciiTheme="minorEastAsia" w:hAnsiTheme="minorEastAsia"/>
                <w:sz w:val="20"/>
                <w:szCs w:val="20"/>
              </w:rPr>
            </w:pPr>
            <w:r>
              <w:rPr>
                <w:rFonts w:asciiTheme="minorEastAsia" w:hAnsiTheme="minorEastAsia"/>
                <w:sz w:val="20"/>
                <w:szCs w:val="20"/>
              </w:rPr>
              <w:t>避开强光照射</w:t>
            </w:r>
          </w:p>
        </w:tc>
        <w:tc>
          <w:tcPr>
            <w:tcW w:w="6165" w:type="dxa"/>
            <w:shd w:val="clear" w:color="auto" w:fill="auto"/>
          </w:tcPr>
          <w:p>
            <w:pPr>
              <w:jc w:val="left"/>
              <w:rPr>
                <w:rFonts w:asciiTheme="minorEastAsia" w:hAnsiTheme="minorEastAsia"/>
                <w:sz w:val="20"/>
                <w:szCs w:val="20"/>
              </w:rPr>
            </w:pPr>
            <w:r>
              <w:rPr>
                <w:rFonts w:asciiTheme="minorEastAsia" w:hAnsiTheme="minorEastAsia"/>
                <w:sz w:val="20"/>
                <w:szCs w:val="20"/>
              </w:rPr>
              <w:t>强光会影响显示屏的显示效果和影响产品寿命，应避开安装在阳 光直射时间较长的方向。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20" w:type="dxa"/>
            <w:vMerge w:val="continue"/>
          </w:tcPr>
          <w:p>
            <w:pPr>
              <w:pStyle w:val="2"/>
              <w:jc w:val="center"/>
              <w:rPr>
                <w:rFonts w:asciiTheme="minorEastAsia" w:hAnsiTheme="minorEastAsia" w:eastAsiaTheme="minorEastAsia"/>
                <w:sz w:val="20"/>
                <w:szCs w:val="20"/>
              </w:rPr>
            </w:pPr>
          </w:p>
        </w:tc>
        <w:tc>
          <w:tcPr>
            <w:tcW w:w="2408" w:type="dxa"/>
            <w:shd w:val="clear" w:color="auto" w:fill="auto"/>
          </w:tcPr>
          <w:p>
            <w:pPr>
              <w:jc w:val="center"/>
              <w:rPr>
                <w:rFonts w:asciiTheme="minorEastAsia" w:hAnsiTheme="minorEastAsia"/>
                <w:sz w:val="20"/>
                <w:szCs w:val="20"/>
              </w:rPr>
            </w:pPr>
            <w:r>
              <w:rPr>
                <w:rFonts w:asciiTheme="minorEastAsia" w:hAnsiTheme="minorEastAsia"/>
                <w:sz w:val="20"/>
                <w:szCs w:val="20"/>
              </w:rPr>
              <w:t>远离水源</w:t>
            </w:r>
          </w:p>
        </w:tc>
        <w:tc>
          <w:tcPr>
            <w:tcW w:w="6165" w:type="dxa"/>
            <w:shd w:val="clear" w:color="auto" w:fill="auto"/>
          </w:tcPr>
          <w:p>
            <w:pPr>
              <w:jc w:val="left"/>
              <w:rPr>
                <w:rFonts w:asciiTheme="minorEastAsia" w:hAnsiTheme="minorEastAsia"/>
                <w:sz w:val="20"/>
                <w:szCs w:val="20"/>
              </w:rPr>
            </w:pPr>
            <w:r>
              <w:rPr>
                <w:rFonts w:asciiTheme="minorEastAsia" w:hAnsiTheme="minorEastAsia"/>
                <w:sz w:val="20"/>
                <w:szCs w:val="20"/>
              </w:rPr>
              <w:t>室内产品防护等级低，水导电可使电路短路，导致电路器件损 毁，故需远离水源。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720" w:type="dxa"/>
            <w:vMerge w:val="continue"/>
          </w:tcPr>
          <w:p>
            <w:pPr>
              <w:pStyle w:val="2"/>
              <w:jc w:val="center"/>
              <w:rPr>
                <w:rFonts w:asciiTheme="minorEastAsia" w:hAnsiTheme="minorEastAsia" w:eastAsiaTheme="minorEastAsia"/>
                <w:sz w:val="20"/>
                <w:szCs w:val="20"/>
              </w:rPr>
            </w:pPr>
          </w:p>
        </w:tc>
        <w:tc>
          <w:tcPr>
            <w:tcW w:w="2408" w:type="dxa"/>
            <w:shd w:val="clear" w:color="auto" w:fill="auto"/>
          </w:tcPr>
          <w:p>
            <w:pPr>
              <w:jc w:val="center"/>
              <w:rPr>
                <w:rFonts w:asciiTheme="minorEastAsia" w:hAnsiTheme="minorEastAsia"/>
                <w:sz w:val="20"/>
                <w:szCs w:val="20"/>
              </w:rPr>
            </w:pPr>
            <w:r>
              <w:rPr>
                <w:rFonts w:asciiTheme="minorEastAsia" w:hAnsiTheme="minorEastAsia"/>
                <w:sz w:val="20"/>
                <w:szCs w:val="20"/>
              </w:rPr>
              <w:t>静电危害，防止雷 击</w:t>
            </w:r>
          </w:p>
        </w:tc>
        <w:tc>
          <w:tcPr>
            <w:tcW w:w="6165" w:type="dxa"/>
            <w:shd w:val="clear" w:color="auto" w:fill="auto"/>
          </w:tcPr>
          <w:p>
            <w:pPr>
              <w:jc w:val="left"/>
              <w:rPr>
                <w:rFonts w:asciiTheme="minorEastAsia" w:hAnsiTheme="minorEastAsia"/>
                <w:sz w:val="20"/>
                <w:szCs w:val="20"/>
              </w:rPr>
            </w:pPr>
            <w:r>
              <w:rPr>
                <w:rFonts w:asciiTheme="minorEastAsia" w:hAnsiTheme="minorEastAsia"/>
                <w:sz w:val="20"/>
                <w:szCs w:val="20"/>
              </w:rPr>
              <w:t>屏体金属构件、开关电源外壳、箱体需接地良好，注意接地电阻 ≤10Ω。防止潮湿环境中，静电对电子器件的损坏，同时避免漏 电对人体的伤害。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20" w:type="dxa"/>
            <w:vMerge w:val="continue"/>
          </w:tcPr>
          <w:p>
            <w:pPr>
              <w:pStyle w:val="2"/>
              <w:jc w:val="center"/>
              <w:rPr>
                <w:rFonts w:asciiTheme="minorEastAsia" w:hAnsiTheme="minorEastAsia" w:eastAsiaTheme="minorEastAsia"/>
                <w:sz w:val="20"/>
                <w:szCs w:val="20"/>
              </w:rPr>
            </w:pPr>
          </w:p>
        </w:tc>
        <w:tc>
          <w:tcPr>
            <w:tcW w:w="2408" w:type="dxa"/>
            <w:shd w:val="clear" w:color="auto" w:fill="auto"/>
          </w:tcPr>
          <w:p>
            <w:pPr>
              <w:jc w:val="center"/>
              <w:rPr>
                <w:rFonts w:asciiTheme="minorEastAsia" w:hAnsiTheme="minorEastAsia"/>
                <w:sz w:val="20"/>
                <w:szCs w:val="20"/>
              </w:rPr>
            </w:pPr>
            <w:r>
              <w:rPr>
                <w:rFonts w:asciiTheme="minorEastAsia" w:hAnsiTheme="minorEastAsia"/>
                <w:sz w:val="20"/>
                <w:szCs w:val="20"/>
              </w:rPr>
              <w:t>人身伤害</w:t>
            </w:r>
          </w:p>
        </w:tc>
        <w:tc>
          <w:tcPr>
            <w:tcW w:w="6165" w:type="dxa"/>
            <w:shd w:val="clear" w:color="auto" w:fill="auto"/>
          </w:tcPr>
          <w:p>
            <w:pPr>
              <w:jc w:val="left"/>
              <w:rPr>
                <w:rFonts w:asciiTheme="minorEastAsia" w:hAnsiTheme="minorEastAsia"/>
                <w:sz w:val="20"/>
                <w:szCs w:val="20"/>
              </w:rPr>
            </w:pPr>
            <w:r>
              <w:rPr>
                <w:rFonts w:asciiTheme="minorEastAsia" w:hAnsiTheme="minorEastAsia"/>
                <w:sz w:val="20"/>
                <w:szCs w:val="20"/>
              </w:rPr>
              <w:t>显示屏安装的角度和高度需适宜，尖锐的边角需包装，防止强硬 外壳对人体的伤害。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20" w:type="dxa"/>
            <w:vMerge w:val="continue"/>
          </w:tcPr>
          <w:p>
            <w:pPr>
              <w:pStyle w:val="2"/>
              <w:jc w:val="center"/>
              <w:rPr>
                <w:rFonts w:asciiTheme="minorEastAsia" w:hAnsiTheme="minorEastAsia" w:eastAsiaTheme="minorEastAsia"/>
                <w:sz w:val="20"/>
                <w:szCs w:val="20"/>
              </w:rPr>
            </w:pPr>
          </w:p>
        </w:tc>
        <w:tc>
          <w:tcPr>
            <w:tcW w:w="2408" w:type="dxa"/>
            <w:shd w:val="clear" w:color="auto" w:fill="auto"/>
          </w:tcPr>
          <w:p>
            <w:pPr>
              <w:jc w:val="center"/>
              <w:rPr>
                <w:rFonts w:asciiTheme="minorEastAsia" w:hAnsiTheme="minorEastAsia"/>
                <w:sz w:val="20"/>
                <w:szCs w:val="20"/>
              </w:rPr>
            </w:pPr>
            <w:r>
              <w:rPr>
                <w:rFonts w:asciiTheme="minorEastAsia" w:hAnsiTheme="minorEastAsia"/>
                <w:sz w:val="20"/>
                <w:szCs w:val="20"/>
              </w:rPr>
              <w:t>特殊环境</w:t>
            </w:r>
          </w:p>
        </w:tc>
        <w:tc>
          <w:tcPr>
            <w:tcW w:w="6165" w:type="dxa"/>
            <w:shd w:val="clear" w:color="auto" w:fill="auto"/>
          </w:tcPr>
          <w:p>
            <w:pPr>
              <w:jc w:val="left"/>
              <w:rPr>
                <w:rFonts w:asciiTheme="minorEastAsia" w:hAnsiTheme="minorEastAsia"/>
                <w:sz w:val="20"/>
                <w:szCs w:val="20"/>
              </w:rPr>
            </w:pPr>
            <w:r>
              <w:rPr>
                <w:rFonts w:asciiTheme="minorEastAsia" w:hAnsiTheme="minorEastAsia"/>
                <w:sz w:val="20"/>
                <w:szCs w:val="20"/>
              </w:rPr>
              <w:t>特殊环境下使用 LED 显示屏（1、海边、游泳池、洗浴场、地下 室、隧道；2、化学品环境内、硫化环境、卤素环境；3、沙尘、 灰尘大的环境; 4、强紫外线环境; 5、强电磁场的环境；6、小于 -20 度，大于+40 度的环境），需根据产品应用环境妥善使用。</w:t>
            </w:r>
          </w:p>
        </w:tc>
      </w:tr>
    </w:tbl>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tbl>
      <w:tblPr>
        <w:tblStyle w:val="15"/>
        <w:tblW w:w="0" w:type="auto"/>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2418"/>
        <w:gridCol w:w="6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3" w:type="dxa"/>
            <w:vMerge w:val="restart"/>
          </w:tcPr>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r>
              <w:rPr>
                <w:rFonts w:asciiTheme="minorEastAsia" w:hAnsiTheme="minorEastAsia" w:eastAsiaTheme="minorEastAsia"/>
                <w:sz w:val="20"/>
                <w:szCs w:val="20"/>
              </w:rPr>
              <w:t>使用 操作 注意 事项</w:t>
            </w:r>
          </w:p>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tc>
        <w:tc>
          <w:tcPr>
            <w:tcW w:w="2418"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静电防护</w:t>
            </w:r>
          </w:p>
        </w:tc>
        <w:tc>
          <w:tcPr>
            <w:tcW w:w="6047"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安装人员必需配带静电手环和静电手套，装配过程中各种工具必 须严格接地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733" w:type="dxa"/>
            <w:vMerge w:val="continue"/>
          </w:tcPr>
          <w:p>
            <w:pPr>
              <w:pStyle w:val="2"/>
              <w:ind w:left="10"/>
              <w:rPr>
                <w:rFonts w:asciiTheme="minorEastAsia" w:hAnsiTheme="minorEastAsia" w:eastAsiaTheme="minorEastAsia"/>
                <w:sz w:val="20"/>
                <w:szCs w:val="20"/>
              </w:rPr>
            </w:pPr>
          </w:p>
        </w:tc>
        <w:tc>
          <w:tcPr>
            <w:tcW w:w="2418"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产品批号管控</w:t>
            </w:r>
          </w:p>
        </w:tc>
        <w:tc>
          <w:tcPr>
            <w:tcW w:w="6047"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不同批号的产品不能装在一个屏上，否则显示屏上将会产生色块 （马赛克）现象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733" w:type="dxa"/>
            <w:vMerge w:val="continue"/>
          </w:tcPr>
          <w:p>
            <w:pPr>
              <w:pStyle w:val="2"/>
              <w:ind w:left="10"/>
              <w:rPr>
                <w:rFonts w:asciiTheme="minorEastAsia" w:hAnsiTheme="minorEastAsia" w:eastAsiaTheme="minorEastAsia"/>
                <w:sz w:val="20"/>
                <w:szCs w:val="20"/>
              </w:rPr>
            </w:pPr>
          </w:p>
        </w:tc>
        <w:tc>
          <w:tcPr>
            <w:tcW w:w="2418"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产品接线</w:t>
            </w:r>
          </w:p>
        </w:tc>
        <w:tc>
          <w:tcPr>
            <w:tcW w:w="6047"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单元板不能直接接入 220V，单元板供电正负极不能接反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733" w:type="dxa"/>
            <w:vMerge w:val="continue"/>
          </w:tcPr>
          <w:p>
            <w:pPr>
              <w:pStyle w:val="2"/>
              <w:ind w:left="10"/>
              <w:rPr>
                <w:rFonts w:asciiTheme="minorEastAsia" w:hAnsiTheme="minorEastAsia" w:eastAsiaTheme="minorEastAsia"/>
                <w:sz w:val="20"/>
                <w:szCs w:val="20"/>
              </w:rPr>
            </w:pPr>
          </w:p>
        </w:tc>
        <w:tc>
          <w:tcPr>
            <w:tcW w:w="2418"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拆装与运输过程</w:t>
            </w:r>
          </w:p>
        </w:tc>
        <w:tc>
          <w:tcPr>
            <w:tcW w:w="6047"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不得摔、推、挤、压单元板，以免损坏显示屏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33" w:type="dxa"/>
            <w:vMerge w:val="continue"/>
          </w:tcPr>
          <w:p>
            <w:pPr>
              <w:pStyle w:val="2"/>
              <w:ind w:left="10"/>
              <w:rPr>
                <w:rFonts w:asciiTheme="minorEastAsia" w:hAnsiTheme="minorEastAsia" w:eastAsiaTheme="minorEastAsia"/>
                <w:sz w:val="20"/>
                <w:szCs w:val="20"/>
              </w:rPr>
            </w:pPr>
          </w:p>
        </w:tc>
        <w:tc>
          <w:tcPr>
            <w:tcW w:w="2418"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拆装维护液体防护</w:t>
            </w:r>
          </w:p>
        </w:tc>
        <w:tc>
          <w:tcPr>
            <w:tcW w:w="6047"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拆装作业时不能有汗液或其它液体滴到显示屏上，如有滴到需要 酒精清洗产品滴液位置，防止液体腐蚀致产品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33" w:type="dxa"/>
            <w:vMerge w:val="continue"/>
          </w:tcPr>
          <w:p>
            <w:pPr>
              <w:pStyle w:val="2"/>
              <w:ind w:left="10"/>
              <w:rPr>
                <w:rFonts w:asciiTheme="minorEastAsia" w:hAnsiTheme="minorEastAsia" w:eastAsiaTheme="minorEastAsia"/>
                <w:sz w:val="20"/>
                <w:szCs w:val="20"/>
              </w:rPr>
            </w:pPr>
          </w:p>
        </w:tc>
        <w:tc>
          <w:tcPr>
            <w:tcW w:w="2418"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安装扭力控制</w:t>
            </w:r>
          </w:p>
        </w:tc>
        <w:tc>
          <w:tcPr>
            <w:tcW w:w="6047"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电源接线时需确保端子接头螺丝拧紧，防止接头位置松动，导致 接触电阻大引起烧线或产品损坏问题，M4 螺丝扭矩 6.0－8.0 Kgf.cm ，M3 螺丝扭矩 4.0－6.0 Kgf.cm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733" w:type="dxa"/>
            <w:vMerge w:val="continue"/>
          </w:tcPr>
          <w:p>
            <w:pPr>
              <w:pStyle w:val="2"/>
              <w:ind w:left="10"/>
              <w:rPr>
                <w:rFonts w:asciiTheme="minorEastAsia" w:hAnsiTheme="minorEastAsia" w:eastAsiaTheme="minorEastAsia"/>
                <w:sz w:val="20"/>
                <w:szCs w:val="20"/>
              </w:rPr>
            </w:pPr>
          </w:p>
        </w:tc>
        <w:tc>
          <w:tcPr>
            <w:tcW w:w="2418"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禁止带电作业</w:t>
            </w:r>
          </w:p>
        </w:tc>
        <w:tc>
          <w:tcPr>
            <w:tcW w:w="6047"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禁止在通电情况下拼装单元板，应将主电输入断开情况下进行单 元板上墙拼装，不允许带插入电源线和信号线拼装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733" w:type="dxa"/>
            <w:vMerge w:val="continue"/>
          </w:tcPr>
          <w:p>
            <w:pPr>
              <w:pStyle w:val="2"/>
              <w:ind w:left="10"/>
              <w:rPr>
                <w:rFonts w:asciiTheme="minorEastAsia" w:hAnsiTheme="minorEastAsia" w:eastAsiaTheme="minorEastAsia"/>
                <w:sz w:val="20"/>
                <w:szCs w:val="20"/>
              </w:rPr>
            </w:pPr>
          </w:p>
        </w:tc>
        <w:tc>
          <w:tcPr>
            <w:tcW w:w="2418"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禁止带电触摸</w:t>
            </w:r>
          </w:p>
        </w:tc>
        <w:tc>
          <w:tcPr>
            <w:tcW w:w="6047"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屏体点亮使用中禁止人员去触碰和触摸 LED 显示屏，以免人体摩 擦产生的静电击穿 LED 灯及芯片等元器件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6" w:hRule="atLeast"/>
        </w:trPr>
        <w:tc>
          <w:tcPr>
            <w:tcW w:w="733" w:type="dxa"/>
            <w:vMerge w:val="continue"/>
          </w:tcPr>
          <w:p>
            <w:pPr>
              <w:pStyle w:val="2"/>
              <w:ind w:left="10"/>
              <w:rPr>
                <w:rFonts w:asciiTheme="minorEastAsia" w:hAnsiTheme="minorEastAsia" w:eastAsiaTheme="minorEastAsia"/>
                <w:sz w:val="20"/>
                <w:szCs w:val="20"/>
              </w:rPr>
            </w:pPr>
          </w:p>
        </w:tc>
        <w:tc>
          <w:tcPr>
            <w:tcW w:w="2418"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环境检查</w:t>
            </w:r>
          </w:p>
        </w:tc>
        <w:tc>
          <w:tcPr>
            <w:tcW w:w="6047"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显示屏安装现场需配置温湿度计，及时监控屏体周围环境情况， 大雨过后，应及时检查显示屏内部是否有受潮、水珠、水气等问 题</w:t>
            </w:r>
          </w:p>
        </w:tc>
      </w:tr>
    </w:tbl>
    <w:p>
      <w:pPr>
        <w:pStyle w:val="3"/>
        <w:spacing w:before="312" w:beforeLines="100" w:after="312" w:afterLines="100" w:line="440" w:lineRule="exact"/>
        <w:outlineLvl w:val="0"/>
        <w:rPr>
          <w:rFonts w:ascii="微软雅黑" w:hAnsi="微软雅黑" w:eastAsia="微软雅黑" w:cs="微软雅黑"/>
          <w:sz w:val="36"/>
          <w:szCs w:val="36"/>
        </w:rPr>
      </w:pPr>
      <w:r>
        <w:rPr>
          <w:rFonts w:hint="eastAsia" w:ascii="微软雅黑" w:hAnsi="微软雅黑" w:eastAsia="微软雅黑" w:cs="微软雅黑"/>
          <w:sz w:val="36"/>
          <w:szCs w:val="36"/>
        </w:rPr>
        <w:t>三、产品说明</w:t>
      </w:r>
    </w:p>
    <w:p>
      <w:pPr>
        <w:pStyle w:val="4"/>
        <w:spacing w:before="312" w:beforeLines="100" w:after="312" w:afterLines="100" w:line="440" w:lineRule="exact"/>
        <w:outlineLvl w:val="1"/>
        <w:rPr>
          <w:rFonts w:ascii="微软雅黑" w:hAnsi="微软雅黑" w:eastAsia="微软雅黑"/>
          <w:sz w:val="30"/>
          <w:szCs w:val="30"/>
        </w:rPr>
      </w:pPr>
      <w:r>
        <w:rPr>
          <w:rFonts w:hint="eastAsia" w:ascii="微软雅黑" w:hAnsi="微软雅黑" w:eastAsia="微软雅黑"/>
          <w:sz w:val="30"/>
          <w:szCs w:val="30"/>
          <w:lang w:val="en-US" w:eastAsia="zh-CN"/>
        </w:rPr>
        <w:t>3.1</w:t>
      </w:r>
      <w:r>
        <w:rPr>
          <w:rFonts w:ascii="微软雅黑" w:hAnsi="微软雅黑" w:eastAsia="微软雅黑"/>
          <w:sz w:val="30"/>
          <w:szCs w:val="30"/>
        </w:rPr>
        <w:t>产品特点</w:t>
      </w:r>
    </w:p>
    <w:p>
      <w:pPr>
        <w:pStyle w:val="25"/>
        <w:numPr>
          <w:ilvl w:val="0"/>
          <w:numId w:val="2"/>
        </w:numPr>
        <w:ind w:firstLineChars="0"/>
        <w:rPr>
          <w:rFonts w:ascii="微软雅黑" w:hAnsi="微软雅黑" w:eastAsia="微软雅黑"/>
        </w:rPr>
      </w:pPr>
      <w:r>
        <w:rPr>
          <w:rFonts w:ascii="微软雅黑" w:hAnsi="微软雅黑" w:eastAsia="微软雅黑"/>
        </w:rPr>
        <w:t>优质灯管，灯管亮度利用率高，同时保障灯管使用寿命和优质的塑胶件</w:t>
      </w:r>
    </w:p>
    <w:p>
      <w:pPr>
        <w:pStyle w:val="25"/>
        <w:numPr>
          <w:ilvl w:val="0"/>
          <w:numId w:val="2"/>
        </w:numPr>
        <w:ind w:firstLineChars="0"/>
        <w:rPr>
          <w:rFonts w:ascii="微软雅黑" w:hAnsi="微软雅黑" w:eastAsia="微软雅黑"/>
        </w:rPr>
      </w:pPr>
      <w:r>
        <w:rPr>
          <w:rFonts w:ascii="微软雅黑" w:hAnsi="微软雅黑" w:eastAsia="微软雅黑"/>
        </w:rPr>
        <w:t>高对比度可达到良好的显示效果</w:t>
      </w:r>
    </w:p>
    <w:p>
      <w:pPr>
        <w:pStyle w:val="25"/>
        <w:numPr>
          <w:ilvl w:val="0"/>
          <w:numId w:val="2"/>
        </w:numPr>
        <w:ind w:firstLineChars="0"/>
        <w:rPr>
          <w:rFonts w:ascii="微软雅黑" w:hAnsi="微软雅黑" w:eastAsia="微软雅黑"/>
        </w:rPr>
      </w:pPr>
      <w:r>
        <w:rPr>
          <w:rFonts w:ascii="微软雅黑" w:hAnsi="微软雅黑" w:eastAsia="微软雅黑"/>
        </w:rPr>
        <w:t>重量轻、易于安装、拆卸</w:t>
      </w:r>
    </w:p>
    <w:p>
      <w:pPr>
        <w:pStyle w:val="25"/>
        <w:numPr>
          <w:ilvl w:val="0"/>
          <w:numId w:val="2"/>
        </w:numPr>
        <w:ind w:firstLineChars="0"/>
        <w:rPr>
          <w:rFonts w:ascii="微软雅黑" w:hAnsi="微软雅黑" w:eastAsia="微软雅黑"/>
        </w:rPr>
      </w:pPr>
      <w:r>
        <w:rPr>
          <w:rFonts w:ascii="微软雅黑" w:hAnsi="微软雅黑" w:eastAsia="微软雅黑"/>
        </w:rPr>
        <w:t>可进行单点、单灯维护，成本低</w:t>
      </w:r>
    </w:p>
    <w:p>
      <w:pPr>
        <w:pStyle w:val="25"/>
        <w:numPr>
          <w:ilvl w:val="0"/>
          <w:numId w:val="2"/>
        </w:numPr>
        <w:ind w:firstLineChars="0"/>
        <w:rPr>
          <w:rFonts w:ascii="微软雅黑" w:hAnsi="微软雅黑" w:eastAsia="微软雅黑"/>
        </w:rPr>
      </w:pPr>
      <w:r>
        <w:rPr>
          <w:rFonts w:ascii="微软雅黑" w:hAnsi="微软雅黑" w:eastAsia="微软雅黑"/>
        </w:rPr>
        <w:t>采用恒流方式驱动 LED，发光均匀，功耗低</w:t>
      </w:r>
    </w:p>
    <w:p>
      <w:pPr>
        <w:pStyle w:val="4"/>
        <w:spacing w:before="312" w:beforeLines="100" w:after="312" w:afterLines="100" w:line="440" w:lineRule="exact"/>
        <w:outlineLvl w:val="1"/>
        <w:rPr>
          <w:rFonts w:hint="eastAsia" w:ascii="微软雅黑" w:hAnsi="微软雅黑" w:eastAsia="微软雅黑"/>
          <w:sz w:val="30"/>
          <w:szCs w:val="30"/>
          <w:lang w:val="en-US" w:eastAsia="zh-CN"/>
        </w:rPr>
      </w:pPr>
      <w:r>
        <w:rPr>
          <w:rFonts w:hint="eastAsia" w:ascii="微软雅黑" w:hAnsi="微软雅黑" w:eastAsia="微软雅黑"/>
          <w:sz w:val="30"/>
          <w:szCs w:val="30"/>
          <w:lang w:val="en-US" w:eastAsia="zh-CN"/>
        </w:rPr>
        <w:t>3.2单元板图片</w:t>
      </w:r>
    </w:p>
    <w:p>
      <w:pPr>
        <w:jc w:val="center"/>
      </w:pPr>
      <w:r>
        <w:drawing>
          <wp:inline distT="0" distB="0" distL="0" distR="0">
            <wp:extent cx="4271645" cy="17526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283081" cy="1757161"/>
                    </a:xfrm>
                    <a:prstGeom prst="rect">
                      <a:avLst/>
                    </a:prstGeom>
                    <a:noFill/>
                    <a:ln>
                      <a:noFill/>
                    </a:ln>
                  </pic:spPr>
                </pic:pic>
              </a:graphicData>
            </a:graphic>
          </wp:inline>
        </w:drawing>
      </w:r>
    </w:p>
    <w:p>
      <w:pPr>
        <w:pStyle w:val="3"/>
        <w:spacing w:before="312" w:beforeLines="100" w:after="312" w:afterLines="100" w:line="440" w:lineRule="exact"/>
        <w:outlineLvl w:val="0"/>
        <w:rPr>
          <w:rFonts w:ascii="微软雅黑" w:hAnsi="微软雅黑" w:eastAsia="微软雅黑" w:cs="微软雅黑"/>
          <w:sz w:val="36"/>
          <w:szCs w:val="36"/>
        </w:rPr>
      </w:pPr>
      <w:r>
        <w:rPr>
          <w:rFonts w:hint="eastAsia" w:ascii="微软雅黑" w:hAnsi="微软雅黑" w:eastAsia="微软雅黑" w:cs="微软雅黑"/>
          <w:sz w:val="36"/>
          <w:szCs w:val="36"/>
        </w:rPr>
        <w:t>四、产品技术要求</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8"/>
        <w:gridCol w:w="2478"/>
        <w:gridCol w:w="2478"/>
        <w:gridCol w:w="2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像数点间距</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2.5mm</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像素密度</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160000Pixels/m2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8" w:type="dxa"/>
          </w:tcPr>
          <w:p>
            <w:pPr>
              <w:rPr>
                <w:rFonts w:asciiTheme="minorEastAsia" w:hAnsiTheme="minorEastAsia" w:eastAsiaTheme="minorEastAsia"/>
                <w:sz w:val="20"/>
                <w:szCs w:val="20"/>
              </w:rPr>
            </w:pPr>
            <w:r>
              <w:rPr>
                <w:rFonts w:hint="eastAsia" w:asciiTheme="minorEastAsia" w:hAnsiTheme="minorEastAsia" w:eastAsiaTheme="minorEastAsia"/>
                <w:sz w:val="20"/>
                <w:szCs w:val="20"/>
              </w:rPr>
              <w:t>刷新频率</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3840HZ</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灯管封装</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SMD2121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尺寸(长*宽*厚)</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320*160*14.</w:t>
            </w:r>
            <w:r>
              <w:rPr>
                <w:rFonts w:hint="eastAsia" w:asciiTheme="minorEastAsia" w:hAnsiTheme="minorEastAsia"/>
                <w:sz w:val="20"/>
                <w:szCs w:val="20"/>
                <w:lang w:val="en-US" w:eastAsia="zh-CN"/>
              </w:rPr>
              <w:t>5</w:t>
            </w:r>
            <w:r>
              <w:rPr>
                <w:rFonts w:asciiTheme="minorEastAsia" w:hAnsiTheme="minorEastAsia" w:eastAsiaTheme="minorEastAsia"/>
                <w:sz w:val="20"/>
                <w:szCs w:val="20"/>
              </w:rPr>
              <w:t>mm</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重量</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0.43kg±0.01kg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结构特点</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软连接</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单元板分辨率</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128*64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8" w:type="dxa"/>
          </w:tcPr>
          <w:p>
            <w:pPr>
              <w:rPr>
                <w:rFonts w:asciiTheme="minorEastAsia" w:hAnsiTheme="minorEastAsia" w:eastAsiaTheme="minorEastAsia"/>
                <w:sz w:val="20"/>
                <w:szCs w:val="20"/>
              </w:rPr>
            </w:pPr>
            <w:r>
              <w:rPr>
                <w:rFonts w:hint="eastAsia" w:asciiTheme="minorEastAsia" w:hAnsiTheme="minorEastAsia" w:eastAsiaTheme="minorEastAsia"/>
                <w:sz w:val="20"/>
                <w:szCs w:val="20"/>
              </w:rPr>
              <w:t>维护方式</w:t>
            </w:r>
          </w:p>
        </w:tc>
        <w:tc>
          <w:tcPr>
            <w:tcW w:w="2478" w:type="dxa"/>
          </w:tcPr>
          <w:p>
            <w:pPr>
              <w:rPr>
                <w:rFonts w:asciiTheme="minorEastAsia" w:hAnsiTheme="minorEastAsia" w:eastAsiaTheme="minorEastAsia"/>
                <w:sz w:val="20"/>
                <w:szCs w:val="20"/>
              </w:rPr>
            </w:pPr>
            <w:r>
              <w:rPr>
                <w:rFonts w:hint="eastAsia" w:asciiTheme="minorEastAsia" w:hAnsiTheme="minorEastAsia" w:eastAsiaTheme="minorEastAsia"/>
                <w:sz w:val="20"/>
                <w:szCs w:val="20"/>
              </w:rPr>
              <w:t>前维护</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级联</w:t>
            </w:r>
          </w:p>
        </w:tc>
        <w:tc>
          <w:tcPr>
            <w:tcW w:w="2478" w:type="dxa"/>
          </w:tcPr>
          <w:p>
            <w:pPr>
              <w:rPr>
                <w:rFonts w:hint="eastAsia"/>
                <w:lang w:val="en-US" w:eastAsia="zh-CN"/>
              </w:rPr>
            </w:pPr>
            <w:r>
              <w:rPr>
                <w:rFonts w:hint="eastAsia"/>
                <w:lang w:val="en-US" w:eastAsia="zh-CN"/>
              </w:rPr>
              <w:t>高刷可级联</w:t>
            </w:r>
          </w:p>
          <w:p>
            <w:pPr>
              <w:pStyle w:val="2"/>
              <w:rPr>
                <w:rFonts w:hint="default"/>
                <w:lang w:val="en-US" w:eastAsia="zh-CN"/>
              </w:rPr>
            </w:pPr>
            <w:r>
              <w:rPr>
                <w:rFonts w:hint="eastAsia" w:asciiTheme="minorEastAsia" w:hAnsiTheme="minorEastAsia"/>
                <w:sz w:val="20"/>
                <w:szCs w:val="20"/>
                <w:lang w:val="en-US" w:eastAsia="zh-CN"/>
              </w:rPr>
              <w:t>普刷不可级联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单元板功率</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w:t>
            </w:r>
            <w:r>
              <w:rPr>
                <w:rFonts w:hint="eastAsia" w:asciiTheme="minorEastAsia" w:hAnsiTheme="minorEastAsia"/>
                <w:sz w:val="20"/>
                <w:szCs w:val="20"/>
                <w:lang w:val="en-US" w:eastAsia="zh-CN"/>
              </w:rPr>
              <w:t>18</w:t>
            </w:r>
            <w:r>
              <w:rPr>
                <w:rFonts w:asciiTheme="minorEastAsia" w:hAnsiTheme="minorEastAsia" w:eastAsiaTheme="minorEastAsia"/>
                <w:sz w:val="20"/>
                <w:szCs w:val="20"/>
              </w:rPr>
              <w:t>W</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驱动方式</w:t>
            </w:r>
          </w:p>
        </w:tc>
        <w:tc>
          <w:tcPr>
            <w:tcW w:w="2478" w:type="dxa"/>
          </w:tcPr>
          <w:p>
            <w:pPr>
              <w:rPr>
                <w:rFonts w:asciiTheme="minorEastAsia" w:hAnsiTheme="minorEastAsia" w:eastAsiaTheme="minorEastAsia"/>
                <w:sz w:val="20"/>
                <w:szCs w:val="20"/>
              </w:rPr>
            </w:pPr>
            <w:r>
              <w:rPr>
                <w:rFonts w:hint="eastAsia" w:asciiTheme="minorEastAsia" w:hAnsiTheme="minorEastAsia" w:eastAsiaTheme="minorEastAsia"/>
                <w:sz w:val="20"/>
                <w:szCs w:val="20"/>
              </w:rPr>
              <w:t>恒流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亮度</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≥450cd/㎡</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亮度均匀性</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屏幕水平视角</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160±10 度</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屏幕垂直视角</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140±10 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最佳视距</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w:t>
            </w:r>
            <w:r>
              <w:rPr>
                <w:rFonts w:hint="eastAsia" w:asciiTheme="minorEastAsia" w:hAnsiTheme="minorEastAsia"/>
                <w:sz w:val="20"/>
                <w:szCs w:val="20"/>
                <w:lang w:val="en-US" w:eastAsia="zh-CN"/>
              </w:rPr>
              <w:t>7.5</w:t>
            </w:r>
            <w:r>
              <w:rPr>
                <w:rFonts w:asciiTheme="minorEastAsia" w:hAnsiTheme="minorEastAsia" w:eastAsiaTheme="minorEastAsia"/>
                <w:sz w:val="20"/>
                <w:szCs w:val="20"/>
              </w:rPr>
              <w:t>m</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使用环境</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使用寿命</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≥10 万小时</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平均无故障时间</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≥5000 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衰减率(工作 3 年)</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≤10％</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连续失控点</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离散失控点</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＜30PPM，出厂时为 0</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盲点率</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＜50PPM，出厂时为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工作温度范围</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-20</w:t>
            </w:r>
            <w:r>
              <w:rPr>
                <w:rFonts w:hint="eastAsia" w:cs="宋体" w:asciiTheme="minorEastAsia" w:hAnsiTheme="minorEastAsia" w:eastAsiaTheme="minorEastAsia"/>
                <w:sz w:val="20"/>
                <w:szCs w:val="20"/>
              </w:rPr>
              <w:t>℃</w:t>
            </w:r>
            <w:r>
              <w:rPr>
                <w:rFonts w:asciiTheme="minorEastAsia" w:hAnsiTheme="minorEastAsia" w:eastAsiaTheme="minorEastAsia"/>
                <w:sz w:val="20"/>
                <w:szCs w:val="20"/>
              </w:rPr>
              <w:t>-40</w:t>
            </w:r>
            <w:r>
              <w:rPr>
                <w:rFonts w:hint="eastAsia" w:cs="宋体" w:asciiTheme="minorEastAsia" w:hAnsiTheme="minorEastAsia" w:eastAsiaTheme="minorEastAsia"/>
                <w:sz w:val="20"/>
                <w:szCs w:val="20"/>
              </w:rPr>
              <w:t>℃</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工作湿度范围</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10％-65％RH(无结露)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模组平整度</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＜0.2mm</w:t>
            </w:r>
          </w:p>
        </w:tc>
        <w:tc>
          <w:tcPr>
            <w:tcW w:w="2478" w:type="dxa"/>
          </w:tcPr>
          <w:p>
            <w:pPr>
              <w:rPr>
                <w:rFonts w:asciiTheme="minorEastAsia" w:hAnsiTheme="minorEastAsia" w:eastAsiaTheme="minorEastAsia"/>
                <w:sz w:val="20"/>
                <w:szCs w:val="20"/>
              </w:rPr>
            </w:pPr>
            <w:r>
              <w:rPr>
                <w:rFonts w:hint="eastAsia" w:asciiTheme="minorEastAsia" w:hAnsiTheme="minorEastAsia" w:eastAsiaTheme="minorEastAsia"/>
                <w:sz w:val="20"/>
                <w:szCs w:val="20"/>
              </w:rPr>
              <w:t>防护等级</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IP30</w:t>
            </w:r>
          </w:p>
        </w:tc>
      </w:tr>
    </w:tbl>
    <w:p>
      <w:pPr>
        <w:pStyle w:val="3"/>
        <w:numPr>
          <w:ilvl w:val="0"/>
          <w:numId w:val="3"/>
        </w:numPr>
        <w:outlineLvl w:val="0"/>
        <w:rPr>
          <w:rFonts w:ascii="微软雅黑" w:hAnsi="微软雅黑" w:eastAsia="微软雅黑"/>
          <w:sz w:val="36"/>
          <w:szCs w:val="36"/>
        </w:rPr>
      </w:pPr>
      <w:r>
        <w:rPr>
          <w:rFonts w:hint="eastAsia" w:ascii="微软雅黑" w:hAnsi="微软雅黑" w:eastAsia="微软雅黑"/>
          <w:sz w:val="36"/>
          <w:szCs w:val="36"/>
        </w:rPr>
        <w:t>单元板信号接口定义</w:t>
      </w:r>
    </w:p>
    <w:p>
      <w:r>
        <w:drawing>
          <wp:inline distT="0" distB="0" distL="0" distR="0">
            <wp:extent cx="5915025" cy="3061970"/>
            <wp:effectExtent l="0" t="0" r="952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919486" cy="3064279"/>
                    </a:xfrm>
                    <a:prstGeom prst="rect">
                      <a:avLst/>
                    </a:prstGeom>
                    <a:noFill/>
                    <a:ln>
                      <a:noFill/>
                    </a:ln>
                  </pic:spPr>
                </pic:pic>
              </a:graphicData>
            </a:graphic>
          </wp:inline>
        </w:drawing>
      </w:r>
    </w:p>
    <w:p>
      <w:pPr>
        <w:pStyle w:val="3"/>
        <w:rPr>
          <w:rFonts w:ascii="微软雅黑" w:hAnsi="微软雅黑" w:eastAsia="微软雅黑"/>
          <w:sz w:val="36"/>
          <w:szCs w:val="36"/>
        </w:rPr>
      </w:pPr>
      <w:r>
        <w:rPr>
          <w:rFonts w:hint="eastAsia" w:ascii="微软雅黑" w:hAnsi="微软雅黑" w:eastAsia="微软雅黑"/>
          <w:sz w:val="36"/>
          <w:szCs w:val="36"/>
          <w:highlight w:val="none"/>
        </w:rPr>
        <w:t>六、</w:t>
      </w:r>
      <w:r>
        <w:rPr>
          <w:rFonts w:hint="eastAsia" w:ascii="微软雅黑" w:hAnsi="微软雅黑" w:eastAsia="微软雅黑"/>
          <w:sz w:val="36"/>
          <w:szCs w:val="36"/>
        </w:rPr>
        <w:t>单元板安装孔位图</w:t>
      </w:r>
    </w:p>
    <w:p>
      <w:r>
        <w:drawing>
          <wp:inline distT="0" distB="0" distL="0" distR="0">
            <wp:extent cx="6299200" cy="2514600"/>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300674" cy="2515097"/>
                    </a:xfrm>
                    <a:prstGeom prst="rect">
                      <a:avLst/>
                    </a:prstGeom>
                    <a:noFill/>
                    <a:ln>
                      <a:noFill/>
                    </a:ln>
                  </pic:spPr>
                </pic:pic>
              </a:graphicData>
            </a:graphic>
          </wp:inline>
        </w:drawing>
      </w:r>
    </w:p>
    <w:p>
      <w:pPr>
        <w:pStyle w:val="2"/>
      </w:pPr>
      <w:r>
        <w:t>推荐 640*480 箱体安装孔位图</w:t>
      </w:r>
    </w:p>
    <w:p>
      <w:pPr>
        <w:pStyle w:val="2"/>
      </w:pPr>
      <w:r>
        <w:drawing>
          <wp:inline distT="0" distB="0" distL="0" distR="0">
            <wp:extent cx="6276975" cy="352933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276975" cy="3529330"/>
                    </a:xfrm>
                    <a:prstGeom prst="rect">
                      <a:avLst/>
                    </a:prstGeom>
                    <a:noFill/>
                    <a:ln>
                      <a:noFill/>
                    </a:ln>
                  </pic:spPr>
                </pic:pic>
              </a:graphicData>
            </a:graphic>
          </wp:inline>
        </w:drawing>
      </w:r>
      <w:r>
        <w:drawing>
          <wp:anchor distT="0" distB="0" distL="114300" distR="114300" simplePos="0" relativeHeight="251659264" behindDoc="1" locked="0" layoutInCell="1" allowOverlap="1">
            <wp:simplePos x="0" y="0"/>
            <wp:positionH relativeFrom="page">
              <wp:posOffset>666750</wp:posOffset>
            </wp:positionH>
            <wp:positionV relativeFrom="page">
              <wp:posOffset>1452245</wp:posOffset>
            </wp:positionV>
            <wp:extent cx="6167755" cy="3028950"/>
            <wp:effectExtent l="0" t="0" r="508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221168" cy="3055338"/>
                    </a:xfrm>
                    <a:prstGeom prst="rect">
                      <a:avLst/>
                    </a:prstGeom>
                    <a:noFill/>
                  </pic:spPr>
                </pic:pic>
              </a:graphicData>
            </a:graphic>
          </wp:anchor>
        </w:drawing>
      </w:r>
    </w:p>
    <w:p>
      <w:pPr>
        <w:pStyle w:val="2"/>
      </w:pPr>
      <w:r>
        <w:t>备注： 所有尺寸的单位为 mm</w:t>
      </w:r>
    </w:p>
    <w:p>
      <w:pPr>
        <w:pStyle w:val="3"/>
        <w:rPr>
          <w:rFonts w:ascii="微软雅黑" w:hAnsi="微软雅黑" w:eastAsia="微软雅黑"/>
          <w:sz w:val="36"/>
          <w:szCs w:val="36"/>
        </w:rPr>
      </w:pPr>
      <w:r>
        <w:rPr>
          <w:rFonts w:hint="eastAsia" w:ascii="微软雅黑" w:hAnsi="微软雅黑" w:eastAsia="微软雅黑"/>
          <w:sz w:val="36"/>
          <w:szCs w:val="36"/>
        </w:rPr>
        <w:t>七、安装指导</w:t>
      </w:r>
    </w:p>
    <w:p>
      <w:pPr>
        <w:pStyle w:val="25"/>
        <w:numPr>
          <w:ilvl w:val="0"/>
          <w:numId w:val="4"/>
        </w:numPr>
        <w:ind w:firstLineChars="0"/>
      </w:pPr>
      <w:r>
        <w:t>箱体与单元板安装示意图(此图仅供参考，具体接线方式参考实物)：</w:t>
      </w:r>
    </w:p>
    <w:p>
      <w:pPr>
        <w:pStyle w:val="2"/>
      </w:pPr>
      <w:r>
        <w:drawing>
          <wp:inline distT="0" distB="0" distL="0" distR="0">
            <wp:extent cx="5529580" cy="29146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529580" cy="2914650"/>
                    </a:xfrm>
                    <a:prstGeom prst="rect">
                      <a:avLst/>
                    </a:prstGeom>
                    <a:noFill/>
                    <a:ln>
                      <a:noFill/>
                    </a:ln>
                  </pic:spPr>
                </pic:pic>
              </a:graphicData>
            </a:graphic>
          </wp:inline>
        </w:drawing>
      </w:r>
    </w:p>
    <w:p>
      <w:pPr>
        <w:pStyle w:val="2"/>
      </w:pPr>
    </w:p>
    <w:sectPr>
      <w:headerReference r:id="rId3" w:type="default"/>
      <w:footerReference r:id="rId4" w:type="default"/>
      <w:pgSz w:w="11906" w:h="16838"/>
      <w:pgMar w:top="1440" w:right="991" w:bottom="1440" w:left="993" w:header="454" w:footer="90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Times new Roam">
    <w:altName w:val="Times New Roman"/>
    <w:panose1 w:val="00000000000000000000"/>
    <w:charset w:val="00"/>
    <w:family w:val="roman"/>
    <w:pitch w:val="default"/>
    <w:sig w:usb0="00000000" w:usb1="00000000" w:usb2="00000000" w:usb3="00000000" w:csb0="00000000" w:csb1="00000000"/>
  </w:font>
  <w:font w:name="Book Antiqua">
    <w:panose1 w:val="02040602050305030304"/>
    <w:charset w:val="00"/>
    <w:family w:val="roman"/>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drawing>
        <wp:anchor distT="0" distB="0" distL="114300" distR="114300" simplePos="0" relativeHeight="251660288" behindDoc="0" locked="0" layoutInCell="1" allowOverlap="1">
          <wp:simplePos x="0" y="0"/>
          <wp:positionH relativeFrom="column">
            <wp:posOffset>5667375</wp:posOffset>
          </wp:positionH>
          <wp:positionV relativeFrom="paragraph">
            <wp:posOffset>78105</wp:posOffset>
          </wp:positionV>
          <wp:extent cx="586105" cy="586105"/>
          <wp:effectExtent l="0" t="0" r="4445" b="4445"/>
          <wp:wrapSquare wrapText="bothSides"/>
          <wp:docPr id="10" name="图片 10" descr="微信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公众号"/>
                  <pic:cNvPicPr>
                    <a:picLocks noChangeAspect="1"/>
                  </pic:cNvPicPr>
                </pic:nvPicPr>
                <pic:blipFill>
                  <a:blip r:embed="rId1"/>
                  <a:stretch>
                    <a:fillRect/>
                  </a:stretch>
                </pic:blipFill>
                <pic:spPr>
                  <a:xfrm>
                    <a:off x="0" y="0"/>
                    <a:ext cx="586105" cy="586105"/>
                  </a:xfrm>
                  <a:prstGeom prst="rect">
                    <a:avLst/>
                  </a:prstGeom>
                </pic:spPr>
              </pic:pic>
            </a:graphicData>
          </a:graphic>
        </wp:anchor>
      </w:drawing>
    </w:r>
    <w:r>
      <w:ptab w:relativeTo="margin" w:alignment="left" w:leader="none"/>
    </w:r>
    <w:r>
      <w:t xml:space="preserve"> </w:t>
    </w:r>
    <w:r>
      <w:rPr>
        <w:rFonts w:hint="eastAsia"/>
      </w:rPr>
      <w:drawing>
        <wp:inline distT="0" distB="0" distL="114300" distR="114300">
          <wp:extent cx="3731260" cy="695325"/>
          <wp:effectExtent l="0" t="0" r="2540" b="0"/>
          <wp:docPr id="6" name="图片 6" descr="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页脚"/>
                  <pic:cNvPicPr>
                    <a:picLocks noChangeAspect="1"/>
                  </pic:cNvPicPr>
                </pic:nvPicPr>
                <pic:blipFill>
                  <a:blip r:embed="rId2"/>
                  <a:stretch>
                    <a:fillRect/>
                  </a:stretch>
                </pic:blipFill>
                <pic:spPr>
                  <a:xfrm>
                    <a:off x="0" y="0"/>
                    <a:ext cx="3731260" cy="695325"/>
                  </a:xfrm>
                  <a:prstGeom prst="rect">
                    <a:avLst/>
                  </a:prstGeom>
                </pic:spPr>
              </pic:pic>
            </a:graphicData>
          </a:graphic>
        </wp:inline>
      </w:drawing>
    </w:r>
    <w:r>
      <w:t xml:space="preserve"> </w:t>
    </w:r>
    <w:r>
      <w:rPr>
        <w:rFonts w:hint="eastAsia"/>
      </w:rPr>
      <w:t xml:space="preserve">                </w:t>
    </w:r>
  </w:p>
  <w:p>
    <w:pPr>
      <w:pStyle w:val="11"/>
      <w:ind w:right="600"/>
      <w:jc w:val="right"/>
    </w:pPr>
    <w:r>
      <w:rPr>
        <w:rFonts w:ascii="Times New Roman" w:hAnsi="Times New Roman" w:eastAsia="宋体" w:cs="Times New Roman"/>
        <w:color w:val="171A1D"/>
        <w:sz w:val="20"/>
        <w:szCs w:val="20"/>
        <w:shd w:val="clear" w:color="auto" w:fill="FFFFFF"/>
      </w:rPr>
      <w:t>页码：第</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PAGE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1</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ascii="Times New Roman" w:hAnsi="Times New Roman" w:eastAsia="宋体" w:cs="Times New Roman"/>
        <w:color w:val="171A1D"/>
        <w:sz w:val="20"/>
        <w:szCs w:val="20"/>
        <w:shd w:val="clear" w:color="auto" w:fill="FFFFFF"/>
        <w:lang w:val="zh-CN"/>
      </w:rPr>
      <w:t xml:space="preserve"> /共</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NUMPAGES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4</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hint="eastAsia" w:ascii="Times New Roman" w:hAnsi="Times New Roman" w:eastAsia="宋体" w:cs="Times New Roman"/>
        <w:b/>
        <w:bCs/>
        <w:color w:val="171A1D"/>
        <w:sz w:val="20"/>
        <w:szCs w:val="20"/>
        <w:shd w:val="clear" w:color="auto" w:fill="FFFFFF"/>
      </w:rPr>
      <w:t xml:space="preserve"> </w:t>
    </w:r>
    <w:r>
      <w:rPr>
        <w:rFonts w:ascii="Times New Roman" w:hAnsi="Times New Roman" w:eastAsia="宋体" w:cs="Times New Roman"/>
        <w:color w:val="171A1D"/>
        <w:sz w:val="20"/>
        <w:szCs w:val="20"/>
        <w:shd w:val="clear" w:color="auto" w:fill="FFFFFF"/>
      </w:rPr>
      <w:tab/>
    </w:r>
    <w:r>
      <w:rPr>
        <w:rFonts w:ascii="Times New Roman" w:hAnsi="Times New Roman" w:eastAsia="宋体" w:cs="Times New Roman"/>
        <w:color w:val="171A1D"/>
        <w:sz w:val="20"/>
        <w:szCs w:val="20"/>
        <w:shd w:val="clear" w:color="auto" w:fill="FFFFFF"/>
      </w:rPr>
      <w:t xml:space="preserve">      表单号：BD-CPCTY-0001 A0</w:t>
    </w:r>
    <w:r>
      <w:rPr>
        <w:rFonts w:ascii="Times New Roman" w:hAnsi="Times New Roman" w:eastAsia="宋体" w:cs="Times New Roman"/>
        <w:sz w:val="20"/>
        <w:szCs w:val="20"/>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left="4320" w:hanging="4320" w:hangingChars="2400"/>
      <w:jc w:val="both"/>
    </w:pPr>
    <w:r>
      <w:drawing>
        <wp:inline distT="0" distB="0" distL="0" distR="0">
          <wp:extent cx="2462530" cy="7239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462530" cy="723900"/>
                  </a:xfrm>
                  <a:prstGeom prst="rect">
                    <a:avLst/>
                  </a:prstGeom>
                  <a:noFill/>
                  <a:ln>
                    <a:noFill/>
                  </a:ln>
                </pic:spPr>
              </pic:pic>
            </a:graphicData>
          </a:graphic>
        </wp:inline>
      </w:drawing>
    </w:r>
    <w:r>
      <w:rPr>
        <w:rFonts w:hint="eastAsia"/>
      </w:rPr>
      <w:tab/>
    </w:r>
    <w:r>
      <w:rPr>
        <w:rFonts w:hint="eastAsia"/>
      </w:rPr>
      <w:t xml:space="preserve">          </w:t>
    </w:r>
    <w:r>
      <w:t xml:space="preserve">           </w:t>
    </w:r>
    <w:r>
      <w:rPr>
        <w:rFonts w:hint="eastAsia"/>
      </w:rPr>
      <w:t xml:space="preserve"> </w:t>
    </w:r>
    <w:r>
      <w:t xml:space="preserve">   </w:t>
    </w:r>
    <w:r>
      <w:rPr>
        <w:rFonts w:hint="eastAsia"/>
      </w:rPr>
      <w:drawing>
        <wp:inline distT="0" distB="0" distL="114300" distR="114300">
          <wp:extent cx="2376805" cy="826135"/>
          <wp:effectExtent l="0" t="0" r="4445" b="2540"/>
          <wp:docPr id="3" name="图片 3" descr="页眉右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页眉右边"/>
                  <pic:cNvPicPr>
                    <a:picLocks noChangeAspect="1"/>
                  </pic:cNvPicPr>
                </pic:nvPicPr>
                <pic:blipFill>
                  <a:blip r:embed="rId2"/>
                  <a:stretch>
                    <a:fillRect/>
                  </a:stretch>
                </pic:blipFill>
                <pic:spPr>
                  <a:xfrm>
                    <a:off x="0" y="0"/>
                    <a:ext cx="2376805" cy="826135"/>
                  </a:xfrm>
                  <a:prstGeom prst="rect">
                    <a:avLst/>
                  </a:prstGeom>
                </pic:spPr>
              </pic:pic>
            </a:graphicData>
          </a:graphic>
        </wp:inline>
      </w:drawing>
    </w:r>
    <w:r>
      <w:t xml:space="preserve">                                       </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385D7B"/>
    <w:multiLevelType w:val="multilevel"/>
    <w:tmpl w:val="09385D7B"/>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119406EC"/>
    <w:multiLevelType w:val="multilevel"/>
    <w:tmpl w:val="119406EC"/>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35B25A5"/>
    <w:multiLevelType w:val="multilevel"/>
    <w:tmpl w:val="235B25A5"/>
    <w:lvl w:ilvl="0" w:tentative="0">
      <w:start w:val="5"/>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90B1FBE"/>
    <w:multiLevelType w:val="multilevel"/>
    <w:tmpl w:val="690B1FBE"/>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M2NDY4NDdlNzRkMWM2MjI0MmUwZDhlMTI5NTg1YWEifQ=="/>
  </w:docVars>
  <w:rsids>
    <w:rsidRoot w:val="00EE2239"/>
    <w:rsid w:val="00034552"/>
    <w:rsid w:val="000355CA"/>
    <w:rsid w:val="00040F9D"/>
    <w:rsid w:val="000678A8"/>
    <w:rsid w:val="00086ACB"/>
    <w:rsid w:val="00086AFE"/>
    <w:rsid w:val="00093538"/>
    <w:rsid w:val="000A64E2"/>
    <w:rsid w:val="000B3DFC"/>
    <w:rsid w:val="000C0A5E"/>
    <w:rsid w:val="000C3003"/>
    <w:rsid w:val="000C50A8"/>
    <w:rsid w:val="000F5B6D"/>
    <w:rsid w:val="001020AD"/>
    <w:rsid w:val="00102DB8"/>
    <w:rsid w:val="001039F4"/>
    <w:rsid w:val="00112271"/>
    <w:rsid w:val="001128B1"/>
    <w:rsid w:val="00131FEB"/>
    <w:rsid w:val="00132C8D"/>
    <w:rsid w:val="001343A8"/>
    <w:rsid w:val="00147EA9"/>
    <w:rsid w:val="00157397"/>
    <w:rsid w:val="0017241F"/>
    <w:rsid w:val="00193A63"/>
    <w:rsid w:val="001E03F6"/>
    <w:rsid w:val="00205486"/>
    <w:rsid w:val="00210A86"/>
    <w:rsid w:val="00213AFE"/>
    <w:rsid w:val="00286C39"/>
    <w:rsid w:val="0029030D"/>
    <w:rsid w:val="00295F7B"/>
    <w:rsid w:val="002B3994"/>
    <w:rsid w:val="002C6ADA"/>
    <w:rsid w:val="002C77E8"/>
    <w:rsid w:val="002D6FB1"/>
    <w:rsid w:val="00315BB1"/>
    <w:rsid w:val="00327C25"/>
    <w:rsid w:val="00330BD7"/>
    <w:rsid w:val="0035080F"/>
    <w:rsid w:val="00352C00"/>
    <w:rsid w:val="00356F3F"/>
    <w:rsid w:val="00375CB2"/>
    <w:rsid w:val="003D75DC"/>
    <w:rsid w:val="003F266E"/>
    <w:rsid w:val="00400A93"/>
    <w:rsid w:val="004028C0"/>
    <w:rsid w:val="00432739"/>
    <w:rsid w:val="0044733F"/>
    <w:rsid w:val="00451480"/>
    <w:rsid w:val="00457C71"/>
    <w:rsid w:val="004627B9"/>
    <w:rsid w:val="00464436"/>
    <w:rsid w:val="004773A2"/>
    <w:rsid w:val="004A22AA"/>
    <w:rsid w:val="004A6AB6"/>
    <w:rsid w:val="004B6616"/>
    <w:rsid w:val="004D7995"/>
    <w:rsid w:val="004E30D0"/>
    <w:rsid w:val="004F3B59"/>
    <w:rsid w:val="00504BAC"/>
    <w:rsid w:val="0051138D"/>
    <w:rsid w:val="00514AFB"/>
    <w:rsid w:val="00525BC6"/>
    <w:rsid w:val="0053098E"/>
    <w:rsid w:val="00530D40"/>
    <w:rsid w:val="00552C74"/>
    <w:rsid w:val="00555120"/>
    <w:rsid w:val="005701E6"/>
    <w:rsid w:val="00572364"/>
    <w:rsid w:val="005736F9"/>
    <w:rsid w:val="00583456"/>
    <w:rsid w:val="00590301"/>
    <w:rsid w:val="00592132"/>
    <w:rsid w:val="0059410B"/>
    <w:rsid w:val="005A4F4B"/>
    <w:rsid w:val="005A7A0C"/>
    <w:rsid w:val="005B0A3E"/>
    <w:rsid w:val="005C604B"/>
    <w:rsid w:val="006026D1"/>
    <w:rsid w:val="006063D8"/>
    <w:rsid w:val="0061621C"/>
    <w:rsid w:val="006355BE"/>
    <w:rsid w:val="006422A0"/>
    <w:rsid w:val="00655A27"/>
    <w:rsid w:val="00673FC3"/>
    <w:rsid w:val="006854D3"/>
    <w:rsid w:val="006A6E60"/>
    <w:rsid w:val="006B2397"/>
    <w:rsid w:val="006C5CB9"/>
    <w:rsid w:val="006D0084"/>
    <w:rsid w:val="006E75AA"/>
    <w:rsid w:val="007067D8"/>
    <w:rsid w:val="007355A7"/>
    <w:rsid w:val="00773493"/>
    <w:rsid w:val="0077496E"/>
    <w:rsid w:val="00790D07"/>
    <w:rsid w:val="007B412B"/>
    <w:rsid w:val="007B5223"/>
    <w:rsid w:val="0080459E"/>
    <w:rsid w:val="008179CD"/>
    <w:rsid w:val="008C304A"/>
    <w:rsid w:val="008C43E8"/>
    <w:rsid w:val="00906440"/>
    <w:rsid w:val="00910126"/>
    <w:rsid w:val="00916448"/>
    <w:rsid w:val="00916CC4"/>
    <w:rsid w:val="00917A5E"/>
    <w:rsid w:val="00926B11"/>
    <w:rsid w:val="0093237D"/>
    <w:rsid w:val="00950714"/>
    <w:rsid w:val="009607DF"/>
    <w:rsid w:val="00983086"/>
    <w:rsid w:val="009C02FC"/>
    <w:rsid w:val="009D2E7B"/>
    <w:rsid w:val="009D3F32"/>
    <w:rsid w:val="009D4C9F"/>
    <w:rsid w:val="00A00E7B"/>
    <w:rsid w:val="00A064FD"/>
    <w:rsid w:val="00A15D3E"/>
    <w:rsid w:val="00A17F0B"/>
    <w:rsid w:val="00A30D02"/>
    <w:rsid w:val="00A543DF"/>
    <w:rsid w:val="00A55A95"/>
    <w:rsid w:val="00A63074"/>
    <w:rsid w:val="00A66659"/>
    <w:rsid w:val="00A837FF"/>
    <w:rsid w:val="00AA3C73"/>
    <w:rsid w:val="00AB2232"/>
    <w:rsid w:val="00AB7A25"/>
    <w:rsid w:val="00AD6500"/>
    <w:rsid w:val="00AF25A0"/>
    <w:rsid w:val="00AF7A26"/>
    <w:rsid w:val="00B465D8"/>
    <w:rsid w:val="00B55148"/>
    <w:rsid w:val="00B557FF"/>
    <w:rsid w:val="00B63C8F"/>
    <w:rsid w:val="00B72D1A"/>
    <w:rsid w:val="00BB08E1"/>
    <w:rsid w:val="00BB6CBA"/>
    <w:rsid w:val="00BC2526"/>
    <w:rsid w:val="00BD1454"/>
    <w:rsid w:val="00BF55EB"/>
    <w:rsid w:val="00C02CC3"/>
    <w:rsid w:val="00C10124"/>
    <w:rsid w:val="00C13E44"/>
    <w:rsid w:val="00C171C3"/>
    <w:rsid w:val="00C343A4"/>
    <w:rsid w:val="00C41ADF"/>
    <w:rsid w:val="00CB11B5"/>
    <w:rsid w:val="00D26A4B"/>
    <w:rsid w:val="00D2756F"/>
    <w:rsid w:val="00D32400"/>
    <w:rsid w:val="00D32466"/>
    <w:rsid w:val="00D37526"/>
    <w:rsid w:val="00D56583"/>
    <w:rsid w:val="00D706BE"/>
    <w:rsid w:val="00D84E81"/>
    <w:rsid w:val="00DC52F9"/>
    <w:rsid w:val="00E21325"/>
    <w:rsid w:val="00E32342"/>
    <w:rsid w:val="00E47FA0"/>
    <w:rsid w:val="00E523E0"/>
    <w:rsid w:val="00E5532E"/>
    <w:rsid w:val="00E623FC"/>
    <w:rsid w:val="00E67346"/>
    <w:rsid w:val="00EC3907"/>
    <w:rsid w:val="00EE2239"/>
    <w:rsid w:val="00EF0167"/>
    <w:rsid w:val="00EF36F4"/>
    <w:rsid w:val="00F35BB0"/>
    <w:rsid w:val="00F41DB5"/>
    <w:rsid w:val="00F67EB6"/>
    <w:rsid w:val="00FA56F1"/>
    <w:rsid w:val="00FC211B"/>
    <w:rsid w:val="00FC6A24"/>
    <w:rsid w:val="00FD01D8"/>
    <w:rsid w:val="00FD0D8A"/>
    <w:rsid w:val="04B213C1"/>
    <w:rsid w:val="057E74F5"/>
    <w:rsid w:val="05A131E3"/>
    <w:rsid w:val="0A9F4195"/>
    <w:rsid w:val="0B6D6042"/>
    <w:rsid w:val="0D224E4F"/>
    <w:rsid w:val="101C440E"/>
    <w:rsid w:val="114E06C3"/>
    <w:rsid w:val="11C91AF8"/>
    <w:rsid w:val="15E2762C"/>
    <w:rsid w:val="16CA259A"/>
    <w:rsid w:val="17D80473"/>
    <w:rsid w:val="183028D1"/>
    <w:rsid w:val="18D94D16"/>
    <w:rsid w:val="1C024584"/>
    <w:rsid w:val="1D61352C"/>
    <w:rsid w:val="1E7B061E"/>
    <w:rsid w:val="1F0B7BF4"/>
    <w:rsid w:val="1F14208B"/>
    <w:rsid w:val="207F7B8E"/>
    <w:rsid w:val="21F11323"/>
    <w:rsid w:val="22EA5D72"/>
    <w:rsid w:val="24561911"/>
    <w:rsid w:val="25800FD6"/>
    <w:rsid w:val="26A34BB6"/>
    <w:rsid w:val="2A6428AE"/>
    <w:rsid w:val="2B847C6D"/>
    <w:rsid w:val="2D1C7470"/>
    <w:rsid w:val="2D870D8D"/>
    <w:rsid w:val="2E335B48"/>
    <w:rsid w:val="302C5C1C"/>
    <w:rsid w:val="311A1F18"/>
    <w:rsid w:val="315E1E05"/>
    <w:rsid w:val="319620CE"/>
    <w:rsid w:val="35AA386B"/>
    <w:rsid w:val="39616936"/>
    <w:rsid w:val="3C4D4F50"/>
    <w:rsid w:val="3DFC6C2D"/>
    <w:rsid w:val="3DFE0BF8"/>
    <w:rsid w:val="3F163D1F"/>
    <w:rsid w:val="402C30CE"/>
    <w:rsid w:val="40515DFF"/>
    <w:rsid w:val="445F194D"/>
    <w:rsid w:val="449F6565"/>
    <w:rsid w:val="45E5269D"/>
    <w:rsid w:val="4E870795"/>
    <w:rsid w:val="4E9764FE"/>
    <w:rsid w:val="4EA8496E"/>
    <w:rsid w:val="503F0BFC"/>
    <w:rsid w:val="50BB2978"/>
    <w:rsid w:val="50EC0D83"/>
    <w:rsid w:val="51905BB3"/>
    <w:rsid w:val="51D57A6A"/>
    <w:rsid w:val="52944C12"/>
    <w:rsid w:val="538C05FC"/>
    <w:rsid w:val="552F7491"/>
    <w:rsid w:val="56755377"/>
    <w:rsid w:val="56C24BDF"/>
    <w:rsid w:val="56D54068"/>
    <w:rsid w:val="56F02C50"/>
    <w:rsid w:val="589046EA"/>
    <w:rsid w:val="597D4C6F"/>
    <w:rsid w:val="598D4799"/>
    <w:rsid w:val="5A737E20"/>
    <w:rsid w:val="5B5A4166"/>
    <w:rsid w:val="5C0C052C"/>
    <w:rsid w:val="61AA1D5B"/>
    <w:rsid w:val="62053A53"/>
    <w:rsid w:val="64BE25DF"/>
    <w:rsid w:val="677671A1"/>
    <w:rsid w:val="690A736D"/>
    <w:rsid w:val="69586B5E"/>
    <w:rsid w:val="6C044D7B"/>
    <w:rsid w:val="6DE035C6"/>
    <w:rsid w:val="6EAD133E"/>
    <w:rsid w:val="6F7C10CD"/>
    <w:rsid w:val="746C5BB4"/>
    <w:rsid w:val="74FC0CE6"/>
    <w:rsid w:val="759E7FEF"/>
    <w:rsid w:val="75C6325A"/>
    <w:rsid w:val="76E93A99"/>
    <w:rsid w:val="77316C41"/>
    <w:rsid w:val="77BE6DDB"/>
    <w:rsid w:val="77BF424C"/>
    <w:rsid w:val="77EC376A"/>
    <w:rsid w:val="78FC4816"/>
    <w:rsid w:val="794932DF"/>
    <w:rsid w:val="7E4E00D8"/>
    <w:rsid w:val="7F4271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iPriority="9" w:name="heading 4"/>
    <w:lsdException w:qFormat="1" w:uiPriority="9" w:name="heading 5"/>
    <w:lsdException w:qFormat="1" w:uiPriority="9" w:semiHidden="0" w:name="heading 6"/>
    <w:lsdException w:qFormat="1" w:uiPriority="9" w:name="heading 7"/>
    <w:lsdException w:qFormat="1" w:uiPriority="9"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26"/>
    <w:qFormat/>
    <w:uiPriority w:val="9"/>
    <w:pPr>
      <w:spacing w:before="340" w:after="330" w:line="578" w:lineRule="auto"/>
      <w:outlineLvl w:val="0"/>
    </w:pPr>
    <w:rPr>
      <w:kern w:val="44"/>
      <w:sz w:val="44"/>
      <w:szCs w:val="44"/>
    </w:rPr>
  </w:style>
  <w:style w:type="paragraph" w:styleId="4">
    <w:name w:val="heading 2"/>
    <w:basedOn w:val="1"/>
    <w:next w:val="1"/>
    <w:link w:val="23"/>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2"/>
    <w:unhideWhenUsed/>
    <w:qFormat/>
    <w:uiPriority w:val="9"/>
    <w:pPr>
      <w:keepNext/>
      <w:keepLines/>
      <w:spacing w:before="260" w:after="260" w:line="413" w:lineRule="auto"/>
      <w:outlineLvl w:val="2"/>
    </w:pPr>
    <w:rPr>
      <w:b/>
      <w:sz w:val="32"/>
    </w:rPr>
  </w:style>
  <w:style w:type="paragraph" w:styleId="6">
    <w:name w:val="heading 6"/>
    <w:basedOn w:val="1"/>
    <w:next w:val="1"/>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7">
    <w:name w:val="heading 9"/>
    <w:basedOn w:val="1"/>
    <w:next w:val="1"/>
    <w:unhideWhenUsed/>
    <w:qFormat/>
    <w:uiPriority w:val="9"/>
    <w:pPr>
      <w:keepNext/>
      <w:keepLines/>
      <w:spacing w:before="240" w:after="64" w:line="317" w:lineRule="auto"/>
      <w:outlineLvl w:val="8"/>
    </w:pPr>
    <w:rPr>
      <w:rFonts w:ascii="Arial" w:hAnsi="Arial" w:eastAsia="黑体"/>
    </w:rPr>
  </w:style>
  <w:style w:type="character" w:default="1" w:styleId="17">
    <w:name w:val="Default Paragraph Font"/>
    <w:semiHidden/>
    <w:unhideWhenUsed/>
    <w:qFormat/>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8">
    <w:name w:val="annotation text"/>
    <w:basedOn w:val="1"/>
    <w:semiHidden/>
    <w:unhideWhenUsed/>
    <w:qFormat/>
    <w:uiPriority w:val="99"/>
    <w:pPr>
      <w:jc w:val="left"/>
    </w:pPr>
  </w:style>
  <w:style w:type="paragraph" w:styleId="9">
    <w:name w:val="Body Text"/>
    <w:basedOn w:val="1"/>
    <w:qFormat/>
    <w:uiPriority w:val="1"/>
    <w:pPr>
      <w:spacing w:before="115"/>
      <w:ind w:left="600"/>
    </w:pPr>
    <w:rPr>
      <w:rFonts w:ascii="宋体" w:hAnsi="宋体"/>
      <w:sz w:val="20"/>
      <w:szCs w:val="20"/>
    </w:rPr>
  </w:style>
  <w:style w:type="paragraph" w:styleId="10">
    <w:name w:val="Balloon Text"/>
    <w:basedOn w:val="1"/>
    <w:link w:val="21"/>
    <w:semiHidden/>
    <w:unhideWhenUsed/>
    <w:qFormat/>
    <w:uiPriority w:val="99"/>
    <w:rPr>
      <w:sz w:val="18"/>
      <w:szCs w:val="18"/>
    </w:rPr>
  </w:style>
  <w:style w:type="paragraph" w:styleId="11">
    <w:name w:val="footer"/>
    <w:basedOn w:val="1"/>
    <w:link w:val="20"/>
    <w:unhideWhenUsed/>
    <w:qFormat/>
    <w:uiPriority w:val="99"/>
    <w:pPr>
      <w:tabs>
        <w:tab w:val="center" w:pos="4153"/>
        <w:tab w:val="right" w:pos="8306"/>
      </w:tabs>
      <w:snapToGrid w:val="0"/>
      <w:jc w:val="left"/>
    </w:pPr>
    <w:rPr>
      <w:sz w:val="18"/>
      <w:szCs w:val="18"/>
    </w:rPr>
  </w:style>
  <w:style w:type="paragraph" w:styleId="12">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style>
  <w:style w:type="paragraph" w:styleId="14">
    <w:name w:val="Title"/>
    <w:basedOn w:val="1"/>
    <w:next w:val="1"/>
    <w:link w:val="39"/>
    <w:qFormat/>
    <w:uiPriority w:val="10"/>
    <w:pPr>
      <w:spacing w:before="240" w:after="60"/>
      <w:jc w:val="center"/>
      <w:outlineLvl w:val="0"/>
    </w:pPr>
    <w:rPr>
      <w:rFonts w:asciiTheme="majorHAnsi" w:hAnsiTheme="majorHAnsi" w:eastAsiaTheme="majorEastAsia" w:cstheme="majorBidi"/>
      <w:b/>
      <w:bCs/>
      <w:sz w:val="32"/>
      <w:szCs w:val="32"/>
    </w:rPr>
  </w:style>
  <w:style w:type="table" w:styleId="16">
    <w:name w:val="Table Grid"/>
    <w:basedOn w:val="15"/>
    <w:qFormat/>
    <w:uiPriority w:val="0"/>
    <w:rPr>
      <w:rFonts w:eastAsia="微软雅黑"/>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unhideWhenUsed/>
    <w:qFormat/>
    <w:uiPriority w:val="99"/>
    <w:rPr>
      <w:color w:val="0000FF" w:themeColor="hyperlink"/>
      <w:u w:val="single"/>
      <w14:textFill>
        <w14:solidFill>
          <w14:schemeClr w14:val="hlink"/>
        </w14:solidFill>
      </w14:textFill>
    </w:rPr>
  </w:style>
  <w:style w:type="character" w:customStyle="1" w:styleId="19">
    <w:name w:val="页眉 字符"/>
    <w:basedOn w:val="17"/>
    <w:link w:val="12"/>
    <w:qFormat/>
    <w:uiPriority w:val="99"/>
    <w:rPr>
      <w:sz w:val="18"/>
      <w:szCs w:val="18"/>
    </w:rPr>
  </w:style>
  <w:style w:type="character" w:customStyle="1" w:styleId="20">
    <w:name w:val="页脚 字符"/>
    <w:basedOn w:val="17"/>
    <w:link w:val="11"/>
    <w:qFormat/>
    <w:uiPriority w:val="99"/>
    <w:rPr>
      <w:sz w:val="18"/>
      <w:szCs w:val="18"/>
    </w:rPr>
  </w:style>
  <w:style w:type="character" w:customStyle="1" w:styleId="21">
    <w:name w:val="批注框文本 字符"/>
    <w:basedOn w:val="17"/>
    <w:link w:val="10"/>
    <w:semiHidden/>
    <w:qFormat/>
    <w:uiPriority w:val="99"/>
    <w:rPr>
      <w:sz w:val="18"/>
      <w:szCs w:val="18"/>
    </w:rPr>
  </w:style>
  <w:style w:type="character" w:customStyle="1" w:styleId="22">
    <w:name w:val="标题 3 字符"/>
    <w:basedOn w:val="17"/>
    <w:link w:val="5"/>
    <w:qFormat/>
    <w:uiPriority w:val="9"/>
    <w:rPr>
      <w:b/>
      <w:sz w:val="32"/>
    </w:rPr>
  </w:style>
  <w:style w:type="character" w:customStyle="1" w:styleId="23">
    <w:name w:val="标题 2 字符"/>
    <w:basedOn w:val="17"/>
    <w:link w:val="4"/>
    <w:qFormat/>
    <w:uiPriority w:val="9"/>
    <w:rPr>
      <w:rFonts w:asciiTheme="majorHAnsi" w:hAnsiTheme="majorHAnsi" w:eastAsiaTheme="majorEastAsia" w:cstheme="majorBidi"/>
      <w:b/>
      <w:bCs/>
      <w:sz w:val="32"/>
      <w:szCs w:val="32"/>
    </w:rPr>
  </w:style>
  <w:style w:type="paragraph" w:customStyle="1" w:styleId="24">
    <w:name w:val="列表段落1"/>
    <w:basedOn w:val="1"/>
    <w:qFormat/>
    <w:uiPriority w:val="34"/>
    <w:pPr>
      <w:ind w:firstLine="420" w:firstLineChars="200"/>
    </w:pPr>
  </w:style>
  <w:style w:type="paragraph" w:styleId="25">
    <w:name w:val="List Paragraph"/>
    <w:basedOn w:val="1"/>
    <w:qFormat/>
    <w:uiPriority w:val="34"/>
    <w:pPr>
      <w:ind w:firstLine="420" w:firstLineChars="200"/>
    </w:pPr>
  </w:style>
  <w:style w:type="character" w:customStyle="1" w:styleId="26">
    <w:name w:val="标题 1 字符"/>
    <w:basedOn w:val="17"/>
    <w:link w:val="3"/>
    <w:qFormat/>
    <w:uiPriority w:val="9"/>
    <w:rPr>
      <w:b/>
      <w:bCs/>
      <w:kern w:val="44"/>
      <w:sz w:val="44"/>
      <w:szCs w:val="44"/>
    </w:rPr>
  </w:style>
  <w:style w:type="paragraph" w:customStyle="1" w:styleId="27">
    <w:name w:val="TOC 标题1"/>
    <w:basedOn w:val="3"/>
    <w:next w:val="1"/>
    <w:unhideWhenUsed/>
    <w:qFormat/>
    <w:uiPriority w:val="39"/>
    <w:pPr>
      <w:widowControl/>
      <w:spacing w:before="240" w:after="0" w:line="259" w:lineRule="auto"/>
      <w:jc w:val="left"/>
      <w:outlineLvl w:val="9"/>
    </w:pPr>
    <w:rPr>
      <w:b w:val="0"/>
      <w:bCs w:val="0"/>
      <w:color w:val="376092" w:themeColor="accent1" w:themeShade="BF"/>
      <w:kern w:val="0"/>
      <w:sz w:val="32"/>
      <w:szCs w:val="32"/>
    </w:rPr>
  </w:style>
  <w:style w:type="paragraph" w:customStyle="1" w:styleId="28">
    <w:name w:val="图片"/>
    <w:basedOn w:val="1"/>
    <w:qFormat/>
    <w:uiPriority w:val="0"/>
    <w:pPr>
      <w:spacing w:before="50" w:beforeLines="50" w:line="480" w:lineRule="auto"/>
      <w:jc w:val="center"/>
    </w:pPr>
    <w:rPr>
      <w:rFonts w:ascii="Times New Roman" w:hAnsi="Times New Roman" w:cs="Times New Roman"/>
      <w:color w:val="000000"/>
      <w:kern w:val="0"/>
      <w:sz w:val="19"/>
      <w:szCs w:val="19"/>
      <w:lang w:val="zh-CN" w:bidi="zh-CN"/>
    </w:rPr>
  </w:style>
  <w:style w:type="paragraph" w:customStyle="1" w:styleId="29">
    <w:name w:val="样式1"/>
    <w:basedOn w:val="3"/>
    <w:next w:val="1"/>
    <w:qFormat/>
    <w:uiPriority w:val="0"/>
    <w:pPr>
      <w:spacing w:before="100" w:after="90"/>
    </w:pPr>
  </w:style>
  <w:style w:type="paragraph" w:customStyle="1" w:styleId="30">
    <w:name w:val="样式2"/>
    <w:basedOn w:val="3"/>
    <w:next w:val="1"/>
    <w:qFormat/>
    <w:uiPriority w:val="0"/>
    <w:pPr>
      <w:spacing w:before="120" w:after="120" w:line="360" w:lineRule="auto"/>
    </w:pPr>
  </w:style>
  <w:style w:type="paragraph" w:customStyle="1" w:styleId="31">
    <w:name w:val="WPSOffice手动目录 1"/>
    <w:qFormat/>
    <w:uiPriority w:val="0"/>
    <w:rPr>
      <w:rFonts w:asciiTheme="minorHAnsi" w:hAnsiTheme="minorHAnsi" w:eastAsiaTheme="minorEastAsia" w:cstheme="minorBidi"/>
      <w:lang w:val="en-US" w:eastAsia="zh-CN" w:bidi="ar-SA"/>
    </w:rPr>
  </w:style>
  <w:style w:type="paragraph" w:customStyle="1" w:styleId="32">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33">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34">
    <w:name w:val="Table Paragraph"/>
    <w:basedOn w:val="1"/>
    <w:qFormat/>
    <w:uiPriority w:val="1"/>
  </w:style>
  <w:style w:type="paragraph" w:styleId="35">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36">
    <w:name w:val="网格型1"/>
    <w:basedOn w:val="15"/>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7">
    <w:name w:val="Block Label"/>
    <w:basedOn w:val="14"/>
    <w:next w:val="1"/>
    <w:qFormat/>
    <w:uiPriority w:val="0"/>
    <w:pPr>
      <w:keepNext/>
      <w:keepLines/>
      <w:tabs>
        <w:tab w:val="left" w:pos="360"/>
      </w:tabs>
      <w:spacing w:after="240"/>
      <w:ind w:left="2520" w:hanging="420"/>
      <w:jc w:val="both"/>
      <w:outlineLvl w:val="9"/>
    </w:pPr>
    <w:rPr>
      <w:rFonts w:ascii="Times new Roam" w:hAnsi="Times new Roam" w:cs="Book Antiqua" w:eastAsiaTheme="minorEastAsia"/>
      <w:bCs w:val="0"/>
      <w:color w:val="0063A8"/>
      <w:kern w:val="0"/>
      <w:sz w:val="24"/>
      <w:szCs w:val="26"/>
      <w:u w:val="double"/>
      <w14:numSpacing w14:val="tabular"/>
    </w:rPr>
  </w:style>
  <w:style w:type="paragraph" w:customStyle="1" w:styleId="38">
    <w:name w:val="Step"/>
    <w:basedOn w:val="1"/>
    <w:qFormat/>
    <w:uiPriority w:val="0"/>
    <w:pPr>
      <w:tabs>
        <w:tab w:val="left" w:pos="3420"/>
        <w:tab w:val="left" w:pos="3686"/>
      </w:tabs>
      <w:adjustRightInd w:val="0"/>
      <w:snapToGrid w:val="0"/>
      <w:spacing w:before="160" w:after="160"/>
      <w:ind w:left="1134" w:hanging="283"/>
    </w:pPr>
    <w:rPr>
      <w:kern w:val="0"/>
    </w:rPr>
  </w:style>
  <w:style w:type="character" w:customStyle="1" w:styleId="39">
    <w:name w:val="标题 字符"/>
    <w:basedOn w:val="17"/>
    <w:link w:val="14"/>
    <w:qFormat/>
    <w:uiPriority w:val="10"/>
    <w:rPr>
      <w:rFonts w:asciiTheme="majorHAnsi" w:hAnsiTheme="majorHAnsi" w:eastAsiaTheme="majorEastAsia" w:cstheme="majorBidi"/>
      <w:b/>
      <w:bCs/>
      <w:kern w:val="2"/>
      <w:sz w:val="32"/>
      <w:szCs w:val="32"/>
    </w:rPr>
  </w:style>
  <w:style w:type="table" w:customStyle="1" w:styleId="40">
    <w:name w:val="Table Normal"/>
    <w:semiHidden/>
    <w:unhideWhenUsed/>
    <w:qFormat/>
    <w:uiPriority w:val="2"/>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8.png"/><Relationship Id="rId8" Type="http://schemas.openxmlformats.org/officeDocument/2006/relationships/image" Target="media/image7.png"/><Relationship Id="rId7" Type="http://schemas.openxmlformats.org/officeDocument/2006/relationships/image" Target="media/image6.png"/><Relationship Id="rId6" Type="http://schemas.openxmlformats.org/officeDocument/2006/relationships/image" Target="media/image5.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image" Target="media/image10.png"/><Relationship Id="rId10" Type="http://schemas.openxmlformats.org/officeDocument/2006/relationships/image" Target="media/image9.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80060-F4E9-4DD0-AFA0-A2E37B7990D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9</Pages>
  <Words>2264</Words>
  <Characters>2505</Characters>
  <Lines>20</Lines>
  <Paragraphs>5</Paragraphs>
  <TotalTime>0</TotalTime>
  <ScaleCrop>false</ScaleCrop>
  <LinksUpToDate>false</LinksUpToDate>
  <CharactersWithSpaces>2604</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2022-11-15T03:05:00Z</dcterms:created>
  <dc:creator>Sky123.Org</dc:creator>
  <cp:lastModifiedBy>南瓜土豆</cp:lastModifiedBy>
  <cp:lastPrinted>2022-11-15T03:28:00Z</cp:lastPrinted>
  <dcterms:modified xsi:type="dcterms:W3CDTF">2022-12-20T07:56:03Z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B56A9F9C4A8A4249A7086ABF7058B32B</vt:lpwstr>
  </property>
</Properties>
</file>