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72"/>
          <w:szCs w:val="72"/>
        </w:rPr>
      </w:pPr>
      <w:bookmarkStart w:id="0" w:name="_Hlk34051380"/>
    </w:p>
    <w:p>
      <w:pPr>
        <w:spacing w:line="260" w:lineRule="atLeast"/>
        <w:ind w:firstLine="2161" w:firstLineChars="300"/>
        <w:rPr>
          <w:rFonts w:ascii="微软雅黑" w:hAnsi="微软雅黑" w:eastAsia="微软雅黑" w:cs="微软雅黑"/>
          <w:b/>
          <w:bCs/>
          <w:sz w:val="72"/>
          <w:szCs w:val="72"/>
        </w:rPr>
      </w:pPr>
      <w:r>
        <w:rPr>
          <w:rFonts w:hint="eastAsia" w:ascii="微软雅黑" w:hAnsi="微软雅黑" w:eastAsia="微软雅黑" w:cs="微软雅黑"/>
          <w:b/>
          <w:bCs/>
          <w:sz w:val="72"/>
          <w:szCs w:val="72"/>
        </w:rPr>
        <w:t>L</w:t>
      </w:r>
      <w:r>
        <w:rPr>
          <w:rFonts w:ascii="微软雅黑" w:hAnsi="微软雅黑" w:eastAsia="微软雅黑" w:cs="微软雅黑"/>
          <w:b/>
          <w:bCs/>
          <w:sz w:val="72"/>
          <w:szCs w:val="72"/>
        </w:rPr>
        <w:t>ED</w:t>
      </w:r>
      <w:r>
        <w:rPr>
          <w:rFonts w:hint="eastAsia" w:ascii="微软雅黑" w:hAnsi="微软雅黑" w:eastAsia="微软雅黑" w:cs="微软雅黑"/>
          <w:b/>
          <w:bCs/>
          <w:sz w:val="72"/>
          <w:szCs w:val="72"/>
        </w:rPr>
        <w:t>全彩屏（室内）</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bookmarkStart w:id="1" w:name="_GoBack"/>
      <w:bookmarkEnd w:id="1"/>
    </w:p>
    <w:p>
      <w:pPr>
        <w:pStyle w:val="2"/>
      </w:pPr>
    </w:p>
    <w:bookmarkEnd w:id="0"/>
    <w:p>
      <w:pPr>
        <w:spacing w:line="360" w:lineRule="auto"/>
        <w:ind w:firstLine="3122" w:firstLineChars="600"/>
        <w:jc w:val="both"/>
        <w:rPr>
          <w:rFonts w:ascii="微软雅黑" w:hAnsi="微软雅黑" w:eastAsia="微软雅黑"/>
          <w:b/>
          <w:sz w:val="52"/>
          <w:szCs w:val="52"/>
        </w:rPr>
      </w:pPr>
      <w:r>
        <w:rPr>
          <w:rFonts w:ascii="微软雅黑" w:hAnsi="微软雅黑" w:eastAsia="微软雅黑"/>
          <w:b/>
          <w:sz w:val="52"/>
          <w:szCs w:val="52"/>
        </w:rPr>
        <w:t>LED</w:t>
      </w:r>
      <w:r>
        <w:rPr>
          <w:rFonts w:hint="eastAsia" w:ascii="微软雅黑" w:hAnsi="微软雅黑" w:eastAsia="微软雅黑"/>
          <w:b/>
          <w:sz w:val="52"/>
          <w:szCs w:val="52"/>
          <w:lang w:val="en-US" w:eastAsia="zh-CN"/>
        </w:rPr>
        <w:t>室内</w:t>
      </w:r>
      <w:r>
        <w:rPr>
          <w:rFonts w:hint="eastAsia" w:ascii="微软雅黑" w:hAnsi="微软雅黑" w:eastAsia="微软雅黑"/>
          <w:b/>
          <w:sz w:val="52"/>
          <w:szCs w:val="52"/>
        </w:rPr>
        <w:t>全彩屏</w:t>
      </w:r>
    </w:p>
    <w:p>
      <w:pPr>
        <w:jc w:val="center"/>
      </w:pPr>
      <w:r>
        <w:rPr>
          <w:rFonts w:ascii="微软雅黑" w:hAnsi="微软雅黑" w:eastAsia="微软雅黑"/>
          <w:color w:val="1E1916"/>
          <w:w w:val="110"/>
          <w:sz w:val="36"/>
          <w:szCs w:val="36"/>
        </w:rPr>
        <w:t xml:space="preserve">  P-1.25</w:t>
      </w:r>
    </w:p>
    <w:p>
      <w:pPr>
        <w:spacing w:line="360" w:lineRule="auto"/>
        <w:jc w:val="center"/>
        <w:rPr>
          <w:rFonts w:ascii="微软雅黑" w:hAnsi="微软雅黑" w:eastAsia="微软雅黑" w:cs="微软雅黑"/>
          <w:sz w:val="36"/>
          <w:szCs w:val="36"/>
          <w:vertAlign w:val="subscript"/>
        </w:rPr>
      </w:pPr>
    </w:p>
    <w:p>
      <w:pPr>
        <w:spacing w:line="360" w:lineRule="auto"/>
        <w:jc w:val="center"/>
        <w:rPr>
          <w:rFonts w:ascii="微软雅黑" w:hAnsi="微软雅黑" w:eastAsia="微软雅黑" w:cs="微软雅黑"/>
          <w:sz w:val="36"/>
          <w:szCs w:val="36"/>
          <w:vertAlign w:val="subscript"/>
        </w:rPr>
      </w:pPr>
      <w:r>
        <w:rPr>
          <w:rFonts w:ascii="微软雅黑" w:hAnsi="微软雅黑" w:eastAsia="微软雅黑" w:cs="微软雅黑"/>
          <w:sz w:val="36"/>
          <w:szCs w:val="36"/>
          <w:vertAlign w:val="subscript"/>
        </w:rPr>
        <w:t xml:space="preserve">   </w:t>
      </w:r>
      <w:r>
        <w:rPr>
          <w:rFonts w:hint="eastAsia" w:ascii="微软雅黑" w:hAnsi="微软雅黑" w:eastAsia="微软雅黑" w:cs="微软雅黑"/>
          <w:sz w:val="36"/>
          <w:szCs w:val="36"/>
          <w:vertAlign w:val="subscript"/>
        </w:rPr>
        <w:t>V</w:t>
      </w:r>
      <w:r>
        <w:rPr>
          <w:rFonts w:ascii="微软雅黑" w:hAnsi="微软雅黑" w:eastAsia="微软雅黑" w:cs="微软雅黑"/>
          <w:sz w:val="36"/>
          <w:szCs w:val="36"/>
          <w:vertAlign w:val="subscript"/>
        </w:rPr>
        <w:t>1.0</w:t>
      </w:r>
    </w:p>
    <w:p>
      <w:pPr>
        <w:pStyle w:val="2"/>
      </w:pPr>
    </w:p>
    <w:p>
      <w:pPr>
        <w:pStyle w:val="2"/>
      </w:pPr>
    </w:p>
    <w:p>
      <w:pPr>
        <w:pStyle w:val="2"/>
      </w:pPr>
    </w:p>
    <w:p>
      <w:pPr>
        <w:pStyle w:val="2"/>
      </w:pPr>
    </w:p>
    <w:p>
      <w:pPr>
        <w:pStyle w:val="2"/>
      </w:pPr>
    </w:p>
    <w:p>
      <w:pPr>
        <w:tabs>
          <w:tab w:val="left" w:pos="2985"/>
          <w:tab w:val="center" w:pos="5201"/>
        </w:tabs>
        <w:spacing w:line="260" w:lineRule="atLeast"/>
        <w:jc w:val="center"/>
        <w:rPr>
          <w:rFonts w:ascii="微软雅黑" w:hAnsi="微软雅黑" w:eastAsia="微软雅黑" w:cs="微软雅黑"/>
          <w:sz w:val="36"/>
          <w:szCs w:val="36"/>
        </w:rPr>
      </w:pPr>
      <w:r>
        <w:rPr>
          <w:rFonts w:hint="eastAsia" w:ascii="微软雅黑" w:hAnsi="微软雅黑" w:eastAsia="微软雅黑" w:cs="微软雅黑"/>
          <w:sz w:val="36"/>
          <w:szCs w:val="36"/>
        </w:rPr>
        <w:t>上海大因多媒体技术有限公司</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本手册中的信息已仔细检查，上海大因多媒体技术有限公司L</w:t>
      </w:r>
      <w:r>
        <w:rPr>
          <w:rFonts w:ascii="微软雅黑" w:hAnsi="微软雅黑" w:eastAsia="微软雅黑" w:cs="微软雅黑"/>
          <w:sz w:val="24"/>
          <w:szCs w:val="24"/>
        </w:rPr>
        <w:t>ED</w:t>
      </w:r>
      <w:r>
        <w:rPr>
          <w:rFonts w:hint="eastAsia" w:ascii="微软雅黑" w:hAnsi="微软雅黑" w:eastAsia="微软雅黑" w:cs="微软雅黑"/>
          <w:sz w:val="24"/>
          <w:szCs w:val="24"/>
        </w:rPr>
        <w:t>全彩屏技术不存在侵犯任何专利权或其他第三方权利。</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pStyle w:val="2"/>
        <w:ind w:firstLine="480" w:firstLineChars="200"/>
      </w:pPr>
      <w:r>
        <w:rPr>
          <w:rFonts w:ascii="Arial" w:hAnsi="Arial" w:eastAsia="微软雅黑" w:cs="Arial"/>
        </w:rPr>
        <w:t>＊</w:t>
      </w:r>
      <w:r>
        <w:rPr>
          <w:rFonts w:hint="eastAsia" w:ascii="Arial" w:hAnsi="Arial" w:eastAsia="微软雅黑" w:cs="Arial"/>
        </w:rPr>
        <w:t>警告：本产品属于A类设备。在居住环境中，运行此设备可能会造成无线电干扰。</w:t>
      </w:r>
    </w:p>
    <w:p>
      <w:pPr>
        <w:widowControl/>
        <w:jc w:val="left"/>
        <w:rPr>
          <w:rFonts w:ascii="Arial" w:hAnsi="Arial" w:eastAsia="微软雅黑" w:cs="Arial"/>
          <w:sz w:val="28"/>
          <w:szCs w:val="28"/>
        </w:rPr>
      </w:pPr>
      <w:r>
        <w:rPr>
          <w:rFonts w:ascii="Arial" w:hAnsi="Arial" w:eastAsia="微软雅黑" w:cs="Arial"/>
          <w:sz w:val="28"/>
          <w:szCs w:val="28"/>
        </w:rPr>
        <w:br w:type="page"/>
      </w: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5"/>
        <w:tblW w:w="10485" w:type="dxa"/>
        <w:jc w:val="center"/>
        <w:tblLayout w:type="fixed"/>
        <w:tblCellMar>
          <w:top w:w="0" w:type="dxa"/>
          <w:left w:w="0" w:type="dxa"/>
          <w:bottom w:w="0" w:type="dxa"/>
          <w:right w:w="0" w:type="dxa"/>
        </w:tblCellMar>
      </w:tblPr>
      <w:tblGrid>
        <w:gridCol w:w="1473"/>
        <w:gridCol w:w="2338"/>
        <w:gridCol w:w="4264"/>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338"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264"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V</w:t>
            </w:r>
            <w:r>
              <w:rPr>
                <w:rFonts w:ascii="微软雅黑" w:hAnsi="微软雅黑" w:eastAsia="微软雅黑" w:cs="微软雅黑"/>
                <w:color w:val="000000"/>
                <w:sz w:val="24"/>
                <w:szCs w:val="24"/>
              </w:rPr>
              <w:t>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2022年1</w:t>
            </w:r>
            <w:r>
              <w:rPr>
                <w:rFonts w:hint="eastAsia" w:ascii="微软雅黑" w:hAnsi="微软雅黑" w:eastAsia="微软雅黑" w:cs="微软雅黑"/>
                <w:color w:val="000000"/>
                <w:sz w:val="24"/>
                <w:szCs w:val="24"/>
                <w:lang w:val="en-US" w:eastAsia="zh-CN"/>
              </w:rPr>
              <w:t>1</w:t>
            </w:r>
            <w:r>
              <w:rPr>
                <w:rFonts w:hint="eastAsia" w:ascii="微软雅黑" w:hAnsi="微软雅黑" w:eastAsia="微软雅黑" w:cs="微软雅黑"/>
                <w:color w:val="000000"/>
                <w:sz w:val="24"/>
                <w:szCs w:val="24"/>
              </w:rPr>
              <w:t>月15日</w:t>
            </w: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ascii="微软雅黑" w:hAnsi="微软雅黑" w:eastAsia="微软雅黑" w:cs="微软雅黑"/>
                <w:color w:val="000000"/>
                <w:sz w:val="24"/>
                <w:szCs w:val="24"/>
              </w:rPr>
            </w:pPr>
          </w:p>
        </w:tc>
      </w:tr>
    </w:tbl>
    <w:p>
      <w:pPr>
        <w:pStyle w:val="2"/>
      </w:pPr>
    </w:p>
    <w:p>
      <w:pPr>
        <w:pStyle w:val="2"/>
      </w:pPr>
    </w:p>
    <w:p>
      <w:pPr>
        <w:widowControl/>
        <w:jc w:val="left"/>
        <w:rPr>
          <w:rFonts w:ascii="宋体" w:hAnsi="Times New Roman" w:eastAsia="宋体" w:cs="宋体"/>
          <w:color w:val="000000"/>
          <w:kern w:val="0"/>
          <w:sz w:val="24"/>
          <w:szCs w:val="24"/>
        </w:rPr>
      </w:pPr>
      <w:r>
        <w:br w:type="page"/>
      </w:r>
    </w:p>
    <w:p>
      <w:pPr>
        <w:pStyle w:val="25"/>
        <w:numPr>
          <w:ilvl w:val="0"/>
          <w:numId w:val="1"/>
        </w:numPr>
        <w:spacing w:before="312" w:beforeLines="100" w:after="312" w:afterLines="100" w:line="440" w:lineRule="exact"/>
        <w:ind w:firstLineChars="0"/>
        <w:outlineLvl w:val="0"/>
        <w:rPr>
          <w:rFonts w:ascii="微软雅黑" w:hAnsi="微软雅黑" w:eastAsia="微软雅黑" w:cs="微软雅黑"/>
          <w:b/>
          <w:bCs/>
          <w:sz w:val="36"/>
          <w:szCs w:val="36"/>
        </w:rPr>
      </w:pPr>
      <w:r>
        <w:rPr>
          <w:rFonts w:hint="eastAsia" w:ascii="微软雅黑" w:hAnsi="微软雅黑" w:eastAsia="微软雅黑" w:cs="微软雅黑"/>
          <w:b/>
          <w:bCs/>
          <w:sz w:val="36"/>
          <w:szCs w:val="36"/>
        </w:rPr>
        <w:t>适用范围</w:t>
      </w:r>
    </w:p>
    <w:p>
      <w:pPr>
        <w:spacing w:before="317" w:line="250" w:lineRule="exact"/>
        <w:ind w:firstLine="480" w:firstLineChars="200"/>
        <w:rPr>
          <w:rFonts w:ascii="微软雅黑" w:hAnsi="微软雅黑" w:eastAsia="微软雅黑"/>
          <w:color w:val="000000"/>
          <w:sz w:val="24"/>
          <w:szCs w:val="24"/>
        </w:rPr>
      </w:pPr>
      <w:r>
        <w:rPr>
          <w:rFonts w:ascii="微软雅黑" w:hAnsi="微软雅黑" w:eastAsia="微软雅黑" w:cs="宋体"/>
          <w:color w:val="000000"/>
          <w:sz w:val="24"/>
          <w:szCs w:val="24"/>
        </w:rPr>
        <w:t>本技术手册仅适用于室内全彩</w:t>
      </w:r>
      <w:r>
        <w:rPr>
          <w:rFonts w:ascii="微软雅黑" w:hAnsi="微软雅黑" w:eastAsia="微软雅黑"/>
          <w:color w:val="000000"/>
          <w:sz w:val="24"/>
          <w:szCs w:val="24"/>
        </w:rPr>
        <w:t xml:space="preserve"> P1.25</w:t>
      </w:r>
      <w:r>
        <w:rPr>
          <w:rFonts w:ascii="微软雅黑" w:hAnsi="微软雅黑" w:eastAsia="微软雅黑" w:cs="宋体"/>
          <w:color w:val="000000"/>
          <w:sz w:val="24"/>
          <w:szCs w:val="24"/>
        </w:rPr>
        <w:t>单元板，以下为常规型产品参数，如有特殊需求可定制</w:t>
      </w:r>
    </w:p>
    <w:p>
      <w:pPr>
        <w:pStyle w:val="3"/>
        <w:spacing w:before="312" w:beforeLines="100" w:after="312" w:afterLines="100" w:line="360" w:lineRule="auto"/>
        <w:outlineLvl w:val="0"/>
        <w:rPr>
          <w:rFonts w:ascii="微软雅黑" w:hAnsi="微软雅黑" w:eastAsia="微软雅黑" w:cs="微软雅黑"/>
          <w:sz w:val="36"/>
          <w:szCs w:val="36"/>
        </w:rPr>
      </w:pPr>
      <w:r>
        <w:rPr>
          <w:rFonts w:hint="eastAsia" w:ascii="微软雅黑" w:hAnsi="微软雅黑" w:eastAsia="微软雅黑" w:cs="微软雅黑"/>
          <w:sz w:val="36"/>
          <w:szCs w:val="36"/>
        </w:rPr>
        <w:t>二、注意事项</w:t>
      </w:r>
    </w:p>
    <w:tbl>
      <w:tblPr>
        <w:tblStyle w:val="15"/>
        <w:tblpPr w:leftFromText="180" w:rightFromText="180" w:vertAnchor="text" w:horzAnchor="margin" w:tblpY="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2408"/>
        <w:gridCol w:w="6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trPr>
        <w:tc>
          <w:tcPr>
            <w:tcW w:w="3128" w:type="dxa"/>
            <w:gridSpan w:val="2"/>
            <w:vAlign w:val="center"/>
          </w:tcPr>
          <w:p>
            <w:pPr>
              <w:widowControl/>
              <w:jc w:val="center"/>
              <w:rPr>
                <w:rFonts w:asciiTheme="minorEastAsia" w:hAnsiTheme="minorEastAsia"/>
                <w:sz w:val="20"/>
                <w:szCs w:val="20"/>
              </w:rPr>
            </w:pPr>
            <w:r>
              <w:rPr>
                <w:rFonts w:asciiTheme="minorEastAsia" w:hAnsiTheme="minorEastAsia" w:eastAsiaTheme="minorEastAsia"/>
                <w:sz w:val="20"/>
                <w:szCs w:val="20"/>
              </w:rPr>
              <w:t>项目</w:t>
            </w:r>
          </w:p>
        </w:tc>
        <w:tc>
          <w:tcPr>
            <w:tcW w:w="6165" w:type="dxa"/>
            <w:shd w:val="clear" w:color="auto" w:fill="auto"/>
            <w:vAlign w:val="center"/>
          </w:tcPr>
          <w:p>
            <w:pPr>
              <w:widowControl/>
              <w:jc w:val="center"/>
              <w:rPr>
                <w:rFonts w:asciiTheme="minorEastAsia" w:hAnsiTheme="minorEastAsia"/>
                <w:sz w:val="20"/>
                <w:szCs w:val="20"/>
              </w:rPr>
            </w:pPr>
            <w:r>
              <w:rPr>
                <w:rFonts w:asciiTheme="minorEastAsia" w:hAnsiTheme="minorEastAsia" w:eastAsiaTheme="minorEastAsia"/>
                <w:sz w:val="20"/>
                <w:szCs w:val="20"/>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7" w:hRule="atLeast"/>
        </w:trPr>
        <w:tc>
          <w:tcPr>
            <w:tcW w:w="720" w:type="dxa"/>
            <w:vMerge w:val="restart"/>
          </w:tcPr>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r>
              <w:rPr>
                <w:rFonts w:asciiTheme="minorEastAsia" w:hAnsiTheme="minorEastAsia" w:eastAsiaTheme="minorEastAsia"/>
                <w:sz w:val="20"/>
                <w:szCs w:val="20"/>
              </w:rPr>
              <w:t>环境 注意 事项</w:t>
            </w: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tc>
        <w:tc>
          <w:tcPr>
            <w:tcW w:w="2408" w:type="dxa"/>
            <w:shd w:val="clear" w:color="auto" w:fill="auto"/>
          </w:tcPr>
          <w:p>
            <w:pPr>
              <w:widowControl/>
              <w:jc w:val="center"/>
              <w:rPr>
                <w:rFonts w:asciiTheme="minorEastAsia" w:hAnsiTheme="minorEastAsia"/>
                <w:sz w:val="20"/>
                <w:szCs w:val="20"/>
              </w:rPr>
            </w:pPr>
            <w:r>
              <w:rPr>
                <w:rFonts w:asciiTheme="minorEastAsia" w:hAnsiTheme="minorEastAsia"/>
                <w:sz w:val="20"/>
                <w:szCs w:val="20"/>
              </w:rPr>
              <w:t>温度要求</w:t>
            </w:r>
          </w:p>
        </w:tc>
        <w:tc>
          <w:tcPr>
            <w:tcW w:w="6165"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存储温度范围：-10</w:t>
            </w:r>
            <w:r>
              <w:rPr>
                <w:rFonts w:hint="eastAsia" w:cs="宋体" w:asciiTheme="minorEastAsia" w:hAnsiTheme="minorEastAsia"/>
                <w:sz w:val="20"/>
                <w:szCs w:val="20"/>
              </w:rPr>
              <w:t>℃</w:t>
            </w:r>
            <w:r>
              <w:rPr>
                <w:rFonts w:asciiTheme="minorEastAsia" w:hAnsiTheme="minorEastAsia"/>
                <w:sz w:val="20"/>
                <w:szCs w:val="20"/>
              </w:rPr>
              <w:t>-30</w:t>
            </w:r>
            <w:r>
              <w:rPr>
                <w:rFonts w:hint="eastAsia" w:cs="宋体" w:asciiTheme="minorEastAsia" w:hAnsiTheme="minorEastAsia"/>
                <w:sz w:val="20"/>
                <w:szCs w:val="20"/>
              </w:rPr>
              <w:t>℃</w:t>
            </w:r>
            <w:r>
              <w:rPr>
                <w:rFonts w:asciiTheme="minorEastAsia" w:hAnsiTheme="minorEastAsia"/>
                <w:sz w:val="20"/>
                <w:szCs w:val="20"/>
              </w:rPr>
              <w:t>，超过 30</w:t>
            </w:r>
            <w:r>
              <w:rPr>
                <w:rFonts w:hint="eastAsia" w:cs="宋体" w:asciiTheme="minorEastAsia" w:hAnsiTheme="minorEastAsia"/>
                <w:sz w:val="20"/>
                <w:szCs w:val="20"/>
              </w:rPr>
              <w:t>℃</w:t>
            </w:r>
            <w:r>
              <w:rPr>
                <w:rFonts w:asciiTheme="minorEastAsia" w:hAnsiTheme="minorEastAsia"/>
                <w:sz w:val="20"/>
                <w:szCs w:val="20"/>
              </w:rPr>
              <w:t>需做降温处理。 工作温度范围：-20</w:t>
            </w:r>
            <w:r>
              <w:rPr>
                <w:rFonts w:hint="eastAsia" w:cs="宋体" w:asciiTheme="minorEastAsia" w:hAnsiTheme="minorEastAsia"/>
                <w:sz w:val="20"/>
                <w:szCs w:val="20"/>
              </w:rPr>
              <w:t>℃</w:t>
            </w:r>
            <w:r>
              <w:rPr>
                <w:rFonts w:asciiTheme="minorEastAsia" w:hAnsiTheme="minorEastAsia"/>
                <w:sz w:val="20"/>
                <w:szCs w:val="20"/>
              </w:rPr>
              <w:t>-40</w:t>
            </w:r>
            <w:r>
              <w:rPr>
                <w:rFonts w:hint="eastAsia" w:cs="宋体" w:asciiTheme="minorEastAsia" w:hAnsiTheme="minorEastAsia"/>
                <w:sz w:val="20"/>
                <w:szCs w:val="20"/>
              </w:rPr>
              <w:t>℃</w:t>
            </w:r>
            <w:r>
              <w:rPr>
                <w:rFonts w:asciiTheme="minorEastAsia" w:hAnsiTheme="minorEastAsia"/>
                <w:sz w:val="20"/>
                <w:szCs w:val="20"/>
              </w:rPr>
              <w:t>，其它温度范围，需加装温控设备。 单元板工作时灯面温度：≤60</w:t>
            </w:r>
            <w:r>
              <w:rPr>
                <w:rFonts w:hint="eastAsia" w:cs="宋体" w:asciiTheme="minorEastAsia" w:hAnsiTheme="minorEastAsia"/>
                <w:sz w:val="20"/>
                <w:szCs w:val="20"/>
              </w:rPr>
              <w:t>℃</w:t>
            </w:r>
            <w:r>
              <w:rPr>
                <w:rFonts w:asciiTheme="minorEastAsia" w:hAnsiTheme="minorEastAsia"/>
                <w:sz w:val="20"/>
                <w:szCs w:val="20"/>
              </w:rPr>
              <w:t>，温度超标需加装温控设备。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湿度要求</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存储湿度范围：10%RH-60%RH，湿度超过 60%RH 需除湿处理。 工作湿度范围：10%RH -65%RH，湿度超标需对使用环境除湿处理 后才能正常使用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存放超期处理</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产品存放时间超过一个月，使用前需经过 6 小时的老化后才能正 常使用。老化方式为：全亮亮度设置 10% 1H, 全亮亮度设置 30% 1H, 全亮亮度设置 60% 2H, 全亮亮度设置 80% 1H, 全亮亮度设 置 100% 1H（亮度逐渐递增老化）。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防尘要求</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室内产品无防护等级或 IP30，显示屏不应暴露在尘埃较多的环境 中，比如演播室装修、改造等，需对显示屏进行特殊防护。装修 时不能安装 LED 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防腐蚀性气体</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腐蚀性气体在空气中含有盐或酸气的环境中，会造成电子元件的 腐蚀、结晶漏电等现象。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防电磁辐射</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显示屏不宜安置在电磁辐射、射频辐射超过场强 5V/m 干扰源的环 境中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避开强光照射</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强光会影响显示屏的显示效果和影响产品寿命，应避开安装在阳 光直射时间较长的方向。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远离水源</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室内产品防护等级低，水导电可使电路短路，导致电路器件损 毁，故需远离水源。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静电危害，防止雷 击</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屏体金属构件、开关电源外壳、箱体需接地良好，注意接地电阻 ≤10Ω。防止潮湿环境中，静电对电子器件的损坏，同时避免漏 电对人体的伤害。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人身伤害</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显示屏安装的角度和高度需适宜，尖锐的边角需包装，防止强硬 外壳对人体的伤害。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特殊环境</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特殊环境下使用 LED 显示屏（1、海边、游泳池、洗浴场、地下 室、隧道；2、化学品环境内、硫化环境、卤素环境；3、沙尘、 灰尘大的环境; 4、强紫外线环境; 5、强电磁场的环境；6、小于 -20 度，大于+40 度的环境），需根据产品应用环境妥善使用。</w:t>
            </w:r>
          </w:p>
        </w:tc>
      </w:tr>
    </w:tbl>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tbl>
      <w:tblPr>
        <w:tblStyle w:val="15"/>
        <w:tblW w:w="0" w:type="auto"/>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623"/>
        <w:gridCol w:w="5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95" w:type="dxa"/>
            <w:vMerge w:val="restart"/>
          </w:tcPr>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r>
              <w:rPr>
                <w:rFonts w:asciiTheme="minorEastAsia" w:hAnsiTheme="minorEastAsia" w:eastAsiaTheme="minorEastAsia"/>
                <w:sz w:val="20"/>
                <w:szCs w:val="20"/>
              </w:rPr>
              <w:t>使用 操作 注意 事项</w:t>
            </w: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静电防护</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安装人员必需配带静电手环和静电手套，装配过程中各种工具必 须严格接地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产品批号管控</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不同批号的产品不能装在一个屏上，否则显示屏上将会产生色块 （马赛克）现象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产品接线</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单元板不能直接接入 220V，单元板供电正负极不能接反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拆装与运输过程</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不得摔、推、挤、压单元板，以免损坏显示屏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拆装维护液体防护</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拆装作业时不能有汗液或其它液体滴到显示屏上，如有滴到需要 酒精清洗产品滴液位置，防止液体腐蚀致产品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安装扭力控制</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电源接线时需确保端子接头螺丝拧紧，防止接头位置松动，导致 接触电阻大引起烧线或产品损坏问题，M4 螺丝扭矩 6.0－8.0 Kgf.cm ，M3 螺丝扭矩 4.0－6.0 Kgf.cm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禁止带电作业</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禁止在通电情况下拼装单元板，应将主电输入断开情况下进行单 元板上墙拼装，不允许带插入电源线和信号线拼装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禁止带电触摸</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屏体点亮使用中禁止人员去触碰和触摸 LED 显示屏，以免人体摩 擦产生的静电击穿 LED 灯及芯片等元器件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环境检查</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显示屏安装现场需配置温湿度计，及时监控屏体周围环境情况， 大雨过后，应及时检查显示屏内部是否有受潮、水珠、水气等问 题</w:t>
            </w:r>
          </w:p>
        </w:tc>
      </w:tr>
    </w:tbl>
    <w:p>
      <w:pPr>
        <w:pStyle w:val="3"/>
        <w:spacing w:before="312" w:beforeLines="100" w:after="312" w:afterLines="100" w:line="440" w:lineRule="exact"/>
        <w:outlineLvl w:val="0"/>
        <w:rPr>
          <w:rFonts w:ascii="微软雅黑" w:hAnsi="微软雅黑" w:eastAsia="微软雅黑" w:cs="微软雅黑"/>
          <w:sz w:val="36"/>
          <w:szCs w:val="36"/>
        </w:rPr>
      </w:pPr>
      <w:r>
        <w:rPr>
          <w:rFonts w:hint="eastAsia" w:ascii="微软雅黑" w:hAnsi="微软雅黑" w:eastAsia="微软雅黑" w:cs="微软雅黑"/>
          <w:sz w:val="36"/>
          <w:szCs w:val="36"/>
        </w:rPr>
        <w:t>三、产品说明</w:t>
      </w:r>
    </w:p>
    <w:p>
      <w:pPr>
        <w:pStyle w:val="25"/>
        <w:numPr>
          <w:ilvl w:val="0"/>
          <w:numId w:val="0"/>
        </w:numPr>
        <w:ind w:leftChars="0"/>
        <w:rPr>
          <w:rFonts w:ascii="微软雅黑" w:hAnsi="微软雅黑" w:eastAsia="微软雅黑"/>
          <w:b/>
          <w:bCs/>
          <w:sz w:val="30"/>
          <w:szCs w:val="30"/>
        </w:rPr>
      </w:pPr>
      <w:r>
        <w:rPr>
          <w:rFonts w:hint="eastAsia" w:ascii="微软雅黑" w:hAnsi="微软雅黑" w:eastAsia="微软雅黑"/>
          <w:b/>
          <w:bCs/>
          <w:sz w:val="30"/>
          <w:szCs w:val="30"/>
          <w:lang w:val="en-US" w:eastAsia="zh-CN"/>
        </w:rPr>
        <w:t>3.1</w:t>
      </w:r>
      <w:r>
        <w:rPr>
          <w:rFonts w:ascii="微软雅黑" w:hAnsi="微软雅黑" w:eastAsia="微软雅黑"/>
          <w:b/>
          <w:bCs/>
          <w:sz w:val="30"/>
          <w:szCs w:val="30"/>
        </w:rPr>
        <w:t>产品特点</w:t>
      </w:r>
    </w:p>
    <w:p>
      <w:pPr>
        <w:pStyle w:val="25"/>
        <w:keepNext w:val="0"/>
        <w:keepLines w:val="0"/>
        <w:pageBreakBefore w:val="0"/>
        <w:widowControl w:val="0"/>
        <w:numPr>
          <w:ilvl w:val="0"/>
          <w:numId w:val="2"/>
        </w:numPr>
        <w:kinsoku/>
        <w:wordWrap/>
        <w:overflowPunct/>
        <w:topLinePunct w:val="0"/>
        <w:autoSpaceDE/>
        <w:autoSpaceDN/>
        <w:bidi w:val="0"/>
        <w:adjustRightInd/>
        <w:snapToGrid/>
        <w:spacing w:line="360" w:lineRule="auto"/>
        <w:ind w:left="839" w:hanging="420" w:firstLineChars="0"/>
        <w:textAlignment w:val="auto"/>
        <w:rPr>
          <w:rFonts w:ascii="微软雅黑" w:hAnsi="微软雅黑" w:eastAsia="微软雅黑"/>
          <w:sz w:val="24"/>
          <w:szCs w:val="24"/>
        </w:rPr>
      </w:pPr>
      <w:r>
        <w:rPr>
          <w:rFonts w:ascii="微软雅黑" w:hAnsi="微软雅黑" w:eastAsia="微软雅黑"/>
          <w:sz w:val="24"/>
          <w:szCs w:val="24"/>
        </w:rPr>
        <w:t>优质灯管，灯管亮度利用率高，同时保障灯管使用寿命和优质的塑胶件</w:t>
      </w:r>
    </w:p>
    <w:p>
      <w:pPr>
        <w:pStyle w:val="25"/>
        <w:keepNext w:val="0"/>
        <w:keepLines w:val="0"/>
        <w:pageBreakBefore w:val="0"/>
        <w:widowControl w:val="0"/>
        <w:numPr>
          <w:ilvl w:val="0"/>
          <w:numId w:val="2"/>
        </w:numPr>
        <w:kinsoku/>
        <w:wordWrap/>
        <w:overflowPunct/>
        <w:topLinePunct w:val="0"/>
        <w:autoSpaceDE/>
        <w:autoSpaceDN/>
        <w:bidi w:val="0"/>
        <w:adjustRightInd/>
        <w:snapToGrid/>
        <w:spacing w:line="360" w:lineRule="auto"/>
        <w:ind w:left="839" w:hanging="420" w:firstLineChars="0"/>
        <w:textAlignment w:val="auto"/>
        <w:rPr>
          <w:rFonts w:ascii="微软雅黑" w:hAnsi="微软雅黑" w:eastAsia="微软雅黑"/>
          <w:sz w:val="24"/>
          <w:szCs w:val="24"/>
        </w:rPr>
      </w:pPr>
      <w:r>
        <w:rPr>
          <w:rFonts w:ascii="微软雅黑" w:hAnsi="微软雅黑" w:eastAsia="微软雅黑"/>
          <w:sz w:val="24"/>
          <w:szCs w:val="24"/>
        </w:rPr>
        <w:t>高对比度可达到良好的显示效果</w:t>
      </w:r>
    </w:p>
    <w:p>
      <w:pPr>
        <w:pStyle w:val="25"/>
        <w:keepNext w:val="0"/>
        <w:keepLines w:val="0"/>
        <w:pageBreakBefore w:val="0"/>
        <w:widowControl w:val="0"/>
        <w:numPr>
          <w:ilvl w:val="0"/>
          <w:numId w:val="2"/>
        </w:numPr>
        <w:kinsoku/>
        <w:wordWrap/>
        <w:overflowPunct/>
        <w:topLinePunct w:val="0"/>
        <w:autoSpaceDE/>
        <w:autoSpaceDN/>
        <w:bidi w:val="0"/>
        <w:adjustRightInd/>
        <w:snapToGrid/>
        <w:spacing w:line="360" w:lineRule="auto"/>
        <w:ind w:left="839" w:hanging="420" w:firstLineChars="0"/>
        <w:textAlignment w:val="auto"/>
        <w:rPr>
          <w:rFonts w:ascii="微软雅黑" w:hAnsi="微软雅黑" w:eastAsia="微软雅黑"/>
          <w:sz w:val="24"/>
          <w:szCs w:val="24"/>
        </w:rPr>
      </w:pPr>
      <w:r>
        <w:rPr>
          <w:rFonts w:ascii="微软雅黑" w:hAnsi="微软雅黑" w:eastAsia="微软雅黑"/>
          <w:sz w:val="24"/>
          <w:szCs w:val="24"/>
        </w:rPr>
        <w:t>重量轻、易于安装、拆卸</w:t>
      </w:r>
    </w:p>
    <w:p>
      <w:pPr>
        <w:pStyle w:val="25"/>
        <w:keepNext w:val="0"/>
        <w:keepLines w:val="0"/>
        <w:pageBreakBefore w:val="0"/>
        <w:widowControl w:val="0"/>
        <w:numPr>
          <w:ilvl w:val="0"/>
          <w:numId w:val="2"/>
        </w:numPr>
        <w:kinsoku/>
        <w:wordWrap/>
        <w:overflowPunct/>
        <w:topLinePunct w:val="0"/>
        <w:autoSpaceDE/>
        <w:autoSpaceDN/>
        <w:bidi w:val="0"/>
        <w:adjustRightInd/>
        <w:snapToGrid/>
        <w:spacing w:line="360" w:lineRule="auto"/>
        <w:ind w:left="839" w:hanging="420" w:firstLineChars="0"/>
        <w:textAlignment w:val="auto"/>
        <w:rPr>
          <w:rFonts w:ascii="微软雅黑" w:hAnsi="微软雅黑" w:eastAsia="微软雅黑"/>
          <w:sz w:val="24"/>
          <w:szCs w:val="24"/>
        </w:rPr>
      </w:pPr>
      <w:r>
        <w:rPr>
          <w:rFonts w:ascii="微软雅黑" w:hAnsi="微软雅黑" w:eastAsia="微软雅黑"/>
          <w:sz w:val="24"/>
          <w:szCs w:val="24"/>
        </w:rPr>
        <w:t>可进行单点、单灯维护，成本低</w:t>
      </w:r>
    </w:p>
    <w:p>
      <w:pPr>
        <w:pStyle w:val="25"/>
        <w:keepNext w:val="0"/>
        <w:keepLines w:val="0"/>
        <w:pageBreakBefore w:val="0"/>
        <w:widowControl w:val="0"/>
        <w:numPr>
          <w:ilvl w:val="0"/>
          <w:numId w:val="2"/>
        </w:numPr>
        <w:kinsoku/>
        <w:wordWrap/>
        <w:overflowPunct/>
        <w:topLinePunct w:val="0"/>
        <w:autoSpaceDE/>
        <w:autoSpaceDN/>
        <w:bidi w:val="0"/>
        <w:adjustRightInd/>
        <w:snapToGrid/>
        <w:spacing w:line="360" w:lineRule="auto"/>
        <w:ind w:left="839" w:hanging="420" w:firstLineChars="0"/>
        <w:textAlignment w:val="auto"/>
        <w:rPr>
          <w:rFonts w:ascii="微软雅黑" w:hAnsi="微软雅黑" w:eastAsia="微软雅黑"/>
          <w:sz w:val="24"/>
          <w:szCs w:val="24"/>
        </w:rPr>
      </w:pPr>
      <w:r>
        <w:rPr>
          <w:rFonts w:ascii="微软雅黑" w:hAnsi="微软雅黑" w:eastAsia="微软雅黑"/>
          <w:sz w:val="24"/>
          <w:szCs w:val="24"/>
        </w:rPr>
        <w:t>采用恒流方式驱动 LED，发光均匀，功耗低</w:t>
      </w:r>
    </w:p>
    <w:p>
      <w:pPr>
        <w:pStyle w:val="25"/>
        <w:numPr>
          <w:ilvl w:val="0"/>
          <w:numId w:val="0"/>
        </w:numPr>
        <w:ind w:leftChars="0"/>
        <w:rPr>
          <w:rFonts w:hint="eastAsia" w:ascii="微软雅黑" w:hAnsi="微软雅黑" w:eastAsia="微软雅黑"/>
          <w:b/>
          <w:bCs/>
          <w:sz w:val="30"/>
          <w:szCs w:val="30"/>
          <w:lang w:val="en-US" w:eastAsia="zh-CN"/>
        </w:rPr>
      </w:pPr>
      <w:r>
        <w:rPr>
          <w:rFonts w:hint="eastAsia" w:ascii="微软雅黑" w:hAnsi="微软雅黑" w:eastAsia="微软雅黑"/>
          <w:b/>
          <w:bCs/>
          <w:sz w:val="30"/>
          <w:szCs w:val="30"/>
          <w:lang w:val="en-US" w:eastAsia="zh-CN"/>
        </w:rPr>
        <w:t>3.2单元板图片</w:t>
      </w:r>
    </w:p>
    <w:p>
      <w:pPr>
        <w:jc w:val="center"/>
      </w:pPr>
      <w:r>
        <w:drawing>
          <wp:inline distT="0" distB="0" distL="0" distR="0">
            <wp:extent cx="4271645" cy="1752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283081" cy="1757161"/>
                    </a:xfrm>
                    <a:prstGeom prst="rect">
                      <a:avLst/>
                    </a:prstGeom>
                    <a:noFill/>
                    <a:ln>
                      <a:noFill/>
                    </a:ln>
                  </pic:spPr>
                </pic:pic>
              </a:graphicData>
            </a:graphic>
          </wp:inline>
        </w:drawing>
      </w:r>
    </w:p>
    <w:p>
      <w:pPr>
        <w:pStyle w:val="3"/>
        <w:spacing w:before="312" w:beforeLines="100" w:after="312" w:afterLines="100" w:line="440" w:lineRule="exact"/>
        <w:outlineLvl w:val="0"/>
        <w:rPr>
          <w:rFonts w:ascii="微软雅黑" w:hAnsi="微软雅黑" w:eastAsia="微软雅黑" w:cs="微软雅黑"/>
          <w:sz w:val="36"/>
          <w:szCs w:val="36"/>
        </w:rPr>
      </w:pPr>
      <w:r>
        <w:rPr>
          <w:rFonts w:hint="eastAsia" w:ascii="微软雅黑" w:hAnsi="微软雅黑" w:eastAsia="微软雅黑" w:cs="微软雅黑"/>
          <w:sz w:val="36"/>
          <w:szCs w:val="36"/>
        </w:rPr>
        <w:t>四、产品技术要求</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0"/>
        <w:gridCol w:w="2510"/>
        <w:gridCol w:w="2510"/>
        <w:gridCol w:w="2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像数点间距</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1.25mm</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像素密度</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640000Pixels/m2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刷新频率</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3840HZ</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灯管封装</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SMD1010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尺寸(长*宽*厚)</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320*160*14.</w:t>
            </w:r>
            <w:r>
              <w:rPr>
                <w:rFonts w:hint="eastAsia" w:asciiTheme="minorEastAsia" w:hAnsiTheme="minorEastAsia" w:cstheme="minorEastAsia"/>
                <w:sz w:val="20"/>
                <w:szCs w:val="20"/>
                <w:lang w:val="en-US" w:eastAsia="zh-CN"/>
              </w:rPr>
              <w:t>5</w:t>
            </w:r>
            <w:r>
              <w:rPr>
                <w:rFonts w:hint="eastAsia" w:asciiTheme="minorEastAsia" w:hAnsiTheme="minorEastAsia" w:eastAsiaTheme="minorEastAsia" w:cstheme="minorEastAsia"/>
                <w:sz w:val="20"/>
                <w:szCs w:val="20"/>
              </w:rPr>
              <w:t>mm</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重量</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0.43kg±0.01kg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结构特点</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软连接</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单元板分辨率</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256*128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维护方式</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前维护</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级联</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不可级联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单元板功率</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≤22.5W</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驱动方式</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恒流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亮度</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≥450cd/㎡</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亮度均匀性</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屏幕水平视角</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160±10 度</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屏幕垂直视角</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140±10 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最佳视距</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≥3.75m</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使用环境</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使用寿命</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≥10万小时</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平均无故障时间</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≥5000 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衰减率(工作 3 年)</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≤10％</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连续失控点</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离散失控点</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＜30PPM，出厂时为 0</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盲点率</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＜50PPM，出厂时为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工作温度范围</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-20℃-40℃</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工作湿度范围</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10％-65％RH(无结露)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模组平整度</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＜0.2mm</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防护等级</w:t>
            </w:r>
          </w:p>
        </w:tc>
        <w:tc>
          <w:tcPr>
            <w:tcW w:w="2510" w:type="dxa"/>
          </w:tcPr>
          <w:p>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IP30</w:t>
            </w:r>
          </w:p>
        </w:tc>
      </w:tr>
    </w:tbl>
    <w:p>
      <w:pPr>
        <w:pStyle w:val="3"/>
        <w:numPr>
          <w:ilvl w:val="0"/>
          <w:numId w:val="3"/>
        </w:numPr>
        <w:rPr>
          <w:rFonts w:ascii="微软雅黑" w:hAnsi="微软雅黑" w:eastAsia="微软雅黑"/>
          <w:sz w:val="36"/>
          <w:szCs w:val="36"/>
        </w:rPr>
      </w:pPr>
      <w:r>
        <w:rPr>
          <w:rFonts w:hint="eastAsia" w:ascii="微软雅黑" w:hAnsi="微软雅黑" w:eastAsia="微软雅黑"/>
          <w:sz w:val="36"/>
          <w:szCs w:val="36"/>
        </w:rPr>
        <w:t>单元板信号接口定义</w:t>
      </w:r>
    </w:p>
    <w:p>
      <w:r>
        <w:drawing>
          <wp:inline distT="0" distB="0" distL="0" distR="0">
            <wp:extent cx="6297295" cy="3071495"/>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339948" cy="3092358"/>
                    </a:xfrm>
                    <a:prstGeom prst="rect">
                      <a:avLst/>
                    </a:prstGeom>
                    <a:noFill/>
                    <a:ln>
                      <a:noFill/>
                    </a:ln>
                  </pic:spPr>
                </pic:pic>
              </a:graphicData>
            </a:graphic>
          </wp:inline>
        </w:drawing>
      </w:r>
    </w:p>
    <w:p>
      <w:pPr>
        <w:pStyle w:val="3"/>
        <w:outlineLvl w:val="0"/>
        <w:rPr>
          <w:rFonts w:ascii="微软雅黑" w:hAnsi="微软雅黑" w:eastAsia="微软雅黑"/>
          <w:sz w:val="36"/>
          <w:szCs w:val="36"/>
        </w:rPr>
      </w:pPr>
      <w:r>
        <w:rPr>
          <w:rFonts w:hint="eastAsia" w:ascii="微软雅黑" w:hAnsi="微软雅黑" w:eastAsia="微软雅黑"/>
          <w:sz w:val="36"/>
          <w:szCs w:val="36"/>
          <w:highlight w:val="none"/>
        </w:rPr>
        <w:t>六、单</w:t>
      </w:r>
      <w:r>
        <w:rPr>
          <w:rFonts w:hint="eastAsia" w:ascii="微软雅黑" w:hAnsi="微软雅黑" w:eastAsia="微软雅黑"/>
          <w:sz w:val="36"/>
          <w:szCs w:val="36"/>
        </w:rPr>
        <w:t>元板安装孔位图</w:t>
      </w:r>
    </w:p>
    <w:p>
      <w:r>
        <w:drawing>
          <wp:inline distT="0" distB="0" distL="0" distR="0">
            <wp:extent cx="6299200" cy="25146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300674" cy="2515097"/>
                    </a:xfrm>
                    <a:prstGeom prst="rect">
                      <a:avLst/>
                    </a:prstGeom>
                    <a:noFill/>
                    <a:ln>
                      <a:noFill/>
                    </a:ln>
                  </pic:spPr>
                </pic:pic>
              </a:graphicData>
            </a:graphic>
          </wp:inline>
        </w:drawing>
      </w:r>
    </w:p>
    <w:p>
      <w:pPr>
        <w:pStyle w:val="2"/>
      </w:pPr>
      <w:r>
        <w:t>推荐 640*480 箱体安装孔位图</w:t>
      </w:r>
    </w:p>
    <w:p>
      <w:pPr>
        <w:pStyle w:val="2"/>
      </w:pPr>
      <w:r>
        <w:drawing>
          <wp:inline distT="0" distB="0" distL="0" distR="0">
            <wp:extent cx="6276975" cy="352933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276975" cy="3529330"/>
                    </a:xfrm>
                    <a:prstGeom prst="rect">
                      <a:avLst/>
                    </a:prstGeom>
                    <a:noFill/>
                    <a:ln>
                      <a:noFill/>
                    </a:ln>
                  </pic:spPr>
                </pic:pic>
              </a:graphicData>
            </a:graphic>
          </wp:inline>
        </w:drawing>
      </w:r>
      <w:r>
        <w:drawing>
          <wp:anchor distT="0" distB="0" distL="114300" distR="114300" simplePos="0" relativeHeight="251659264" behindDoc="1" locked="0" layoutInCell="1" allowOverlap="1">
            <wp:simplePos x="0" y="0"/>
            <wp:positionH relativeFrom="page">
              <wp:posOffset>666750</wp:posOffset>
            </wp:positionH>
            <wp:positionV relativeFrom="page">
              <wp:posOffset>1452245</wp:posOffset>
            </wp:positionV>
            <wp:extent cx="6167755" cy="3028950"/>
            <wp:effectExtent l="0" t="0" r="508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221168" cy="3055338"/>
                    </a:xfrm>
                    <a:prstGeom prst="rect">
                      <a:avLst/>
                    </a:prstGeom>
                    <a:noFill/>
                  </pic:spPr>
                </pic:pic>
              </a:graphicData>
            </a:graphic>
          </wp:anchor>
        </w:drawing>
      </w:r>
    </w:p>
    <w:p>
      <w:pPr>
        <w:pStyle w:val="2"/>
      </w:pPr>
      <w:r>
        <w:t>备注： 所有尺寸的单位为 mm</w:t>
      </w:r>
    </w:p>
    <w:p>
      <w:pPr>
        <w:pStyle w:val="3"/>
        <w:outlineLvl w:val="0"/>
        <w:rPr>
          <w:rFonts w:ascii="微软雅黑" w:hAnsi="微软雅黑" w:eastAsia="微软雅黑"/>
          <w:sz w:val="36"/>
          <w:szCs w:val="36"/>
        </w:rPr>
      </w:pPr>
      <w:r>
        <w:rPr>
          <w:rFonts w:hint="eastAsia" w:ascii="微软雅黑" w:hAnsi="微软雅黑" w:eastAsia="微软雅黑"/>
          <w:sz w:val="36"/>
          <w:szCs w:val="36"/>
        </w:rPr>
        <w:t>七、安装指导</w:t>
      </w:r>
    </w:p>
    <w:p>
      <w:pPr>
        <w:pStyle w:val="25"/>
        <w:numPr>
          <w:ilvl w:val="0"/>
          <w:numId w:val="4"/>
        </w:numPr>
        <w:ind w:firstLineChars="0"/>
      </w:pPr>
      <w:r>
        <w:t>箱体与单元板安装示意图(此图仅供参考，具体接线方式参考实物)：</w:t>
      </w:r>
    </w:p>
    <w:p>
      <w:pPr>
        <w:pStyle w:val="2"/>
      </w:pPr>
      <w:r>
        <w:drawing>
          <wp:inline distT="0" distB="0" distL="0" distR="0">
            <wp:extent cx="5529580" cy="2914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529580" cy="2914650"/>
                    </a:xfrm>
                    <a:prstGeom prst="rect">
                      <a:avLst/>
                    </a:prstGeom>
                    <a:noFill/>
                    <a:ln>
                      <a:noFill/>
                    </a:ln>
                  </pic:spPr>
                </pic:pic>
              </a:graphicData>
            </a:graphic>
          </wp:inline>
        </w:drawing>
      </w:r>
    </w:p>
    <w:p>
      <w:pPr>
        <w:pStyle w:val="2"/>
      </w:pPr>
    </w:p>
    <w:sectPr>
      <w:headerReference r:id="rId3" w:type="default"/>
      <w:footerReference r:id="rId4" w:type="default"/>
      <w:pgSz w:w="11906" w:h="16838"/>
      <w:pgMar w:top="1440" w:right="991" w:bottom="1440" w:left="993" w:header="454"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Times new Roam">
    <w:altName w:val="Times New Roman"/>
    <w:panose1 w:val="00000000000000000000"/>
    <w:charset w:val="00"/>
    <w:family w:val="roman"/>
    <w:pitch w:val="default"/>
    <w:sig w:usb0="00000000" w:usb1="00000000" w:usb2="00000000" w:usb3="00000000" w:csb0="00000000"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60288" behindDoc="0" locked="0" layoutInCell="1" allowOverlap="1">
          <wp:simplePos x="0" y="0"/>
          <wp:positionH relativeFrom="column">
            <wp:posOffset>5667375</wp:posOffset>
          </wp:positionH>
          <wp:positionV relativeFrom="paragraph">
            <wp:posOffset>78105</wp:posOffset>
          </wp:positionV>
          <wp:extent cx="586105" cy="586105"/>
          <wp:effectExtent l="0" t="0" r="4445" b="4445"/>
          <wp:wrapSquare wrapText="bothSides"/>
          <wp:docPr id="10" name="图片 10"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11"/>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4320" w:hanging="4320" w:hangingChars="2400"/>
      <w:jc w:val="both"/>
    </w:pPr>
    <w:r>
      <w:drawing>
        <wp:inline distT="0" distB="0" distL="0" distR="0">
          <wp:extent cx="2462530" cy="723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462530" cy="723900"/>
                  </a:xfrm>
                  <a:prstGeom prst="rect">
                    <a:avLst/>
                  </a:prstGeom>
                  <a:noFill/>
                  <a:ln>
                    <a:noFill/>
                  </a:ln>
                </pic:spPr>
              </pic:pic>
            </a:graphicData>
          </a:graphic>
        </wp:inline>
      </w:drawing>
    </w:r>
    <w:r>
      <w:rPr>
        <w:rFonts w:hint="eastAsia"/>
      </w:rPr>
      <w:tab/>
    </w:r>
    <w:r>
      <w:rPr>
        <w:rFonts w:hint="eastAsia"/>
      </w:rPr>
      <w:t xml:space="preserve">          </w:t>
    </w:r>
    <w:r>
      <w:t xml:space="preserve">           </w:t>
    </w:r>
    <w:r>
      <w:rPr>
        <w:rFonts w:hint="eastAsia"/>
      </w:rPr>
      <w:t xml:space="preserve"> </w:t>
    </w:r>
    <w:r>
      <w:t xml:space="preserve">   </w:t>
    </w:r>
    <w:r>
      <w:rPr>
        <w:rFonts w:hint="eastAsia"/>
      </w:rPr>
      <w:drawing>
        <wp:inline distT="0" distB="0" distL="114300" distR="114300">
          <wp:extent cx="2376805" cy="826135"/>
          <wp:effectExtent l="0" t="0" r="4445" b="2540"/>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826135"/>
                  </a:xfrm>
                  <a:prstGeom prst="rect">
                    <a:avLst/>
                  </a:prstGeom>
                </pic:spPr>
              </pic:pic>
            </a:graphicData>
          </a:graphic>
        </wp:inline>
      </w:drawing>
    </w:r>
    <w:r>
      <w:t xml:space="preserve">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85D7B"/>
    <w:multiLevelType w:val="multilevel"/>
    <w:tmpl w:val="09385D7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19406EC"/>
    <w:multiLevelType w:val="multilevel"/>
    <w:tmpl w:val="119406E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35B25A5"/>
    <w:multiLevelType w:val="multilevel"/>
    <w:tmpl w:val="235B25A5"/>
    <w:lvl w:ilvl="0" w:tentative="0">
      <w:start w:val="5"/>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90B1FBE"/>
    <w:multiLevelType w:val="multilevel"/>
    <w:tmpl w:val="690B1FB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25D7C"/>
    <w:rsid w:val="00034552"/>
    <w:rsid w:val="000355CA"/>
    <w:rsid w:val="00086ACB"/>
    <w:rsid w:val="00086AFE"/>
    <w:rsid w:val="00093538"/>
    <w:rsid w:val="000A64E2"/>
    <w:rsid w:val="000B3DFC"/>
    <w:rsid w:val="000C0A5E"/>
    <w:rsid w:val="000F5B6D"/>
    <w:rsid w:val="00102DB8"/>
    <w:rsid w:val="00112271"/>
    <w:rsid w:val="001128B1"/>
    <w:rsid w:val="00131FEB"/>
    <w:rsid w:val="00132C8D"/>
    <w:rsid w:val="001343A8"/>
    <w:rsid w:val="00157397"/>
    <w:rsid w:val="0017241F"/>
    <w:rsid w:val="00193A63"/>
    <w:rsid w:val="001B6637"/>
    <w:rsid w:val="001E03F6"/>
    <w:rsid w:val="00205486"/>
    <w:rsid w:val="00210A86"/>
    <w:rsid w:val="00213AFE"/>
    <w:rsid w:val="00286C39"/>
    <w:rsid w:val="00287DF4"/>
    <w:rsid w:val="0029030D"/>
    <w:rsid w:val="00295F7B"/>
    <w:rsid w:val="002B3994"/>
    <w:rsid w:val="002C6ADA"/>
    <w:rsid w:val="002D6FB1"/>
    <w:rsid w:val="00315BB1"/>
    <w:rsid w:val="00327C25"/>
    <w:rsid w:val="00330BD7"/>
    <w:rsid w:val="0035080F"/>
    <w:rsid w:val="00352C00"/>
    <w:rsid w:val="00375CB2"/>
    <w:rsid w:val="003D75DC"/>
    <w:rsid w:val="003F266E"/>
    <w:rsid w:val="00400A93"/>
    <w:rsid w:val="004028C0"/>
    <w:rsid w:val="00432739"/>
    <w:rsid w:val="00451480"/>
    <w:rsid w:val="00457C71"/>
    <w:rsid w:val="00464436"/>
    <w:rsid w:val="004773A2"/>
    <w:rsid w:val="004A22AA"/>
    <w:rsid w:val="004A6AB6"/>
    <w:rsid w:val="004B6616"/>
    <w:rsid w:val="004D7995"/>
    <w:rsid w:val="004E30D0"/>
    <w:rsid w:val="004F3B59"/>
    <w:rsid w:val="00504BAC"/>
    <w:rsid w:val="0051138D"/>
    <w:rsid w:val="00514AFB"/>
    <w:rsid w:val="0053098E"/>
    <w:rsid w:val="00530D40"/>
    <w:rsid w:val="00552C74"/>
    <w:rsid w:val="00555120"/>
    <w:rsid w:val="005701E6"/>
    <w:rsid w:val="00572364"/>
    <w:rsid w:val="005736F9"/>
    <w:rsid w:val="00583456"/>
    <w:rsid w:val="00590301"/>
    <w:rsid w:val="00592132"/>
    <w:rsid w:val="0059410B"/>
    <w:rsid w:val="005A4F4B"/>
    <w:rsid w:val="005A7A0C"/>
    <w:rsid w:val="005B0A3E"/>
    <w:rsid w:val="005C604B"/>
    <w:rsid w:val="006026D1"/>
    <w:rsid w:val="006063D8"/>
    <w:rsid w:val="0061621C"/>
    <w:rsid w:val="006355BE"/>
    <w:rsid w:val="006422A0"/>
    <w:rsid w:val="00655A27"/>
    <w:rsid w:val="006854D3"/>
    <w:rsid w:val="006A6E60"/>
    <w:rsid w:val="006B2397"/>
    <w:rsid w:val="006C5CB9"/>
    <w:rsid w:val="006D0084"/>
    <w:rsid w:val="006E75AA"/>
    <w:rsid w:val="007067D8"/>
    <w:rsid w:val="007355A7"/>
    <w:rsid w:val="00773493"/>
    <w:rsid w:val="0077496E"/>
    <w:rsid w:val="00790D07"/>
    <w:rsid w:val="007B412B"/>
    <w:rsid w:val="007B5223"/>
    <w:rsid w:val="0080459E"/>
    <w:rsid w:val="008179CD"/>
    <w:rsid w:val="008C304A"/>
    <w:rsid w:val="008C43E8"/>
    <w:rsid w:val="00906440"/>
    <w:rsid w:val="00910126"/>
    <w:rsid w:val="00916448"/>
    <w:rsid w:val="00916CC4"/>
    <w:rsid w:val="00917A5E"/>
    <w:rsid w:val="00926B11"/>
    <w:rsid w:val="0093237D"/>
    <w:rsid w:val="00945052"/>
    <w:rsid w:val="00950714"/>
    <w:rsid w:val="009607DF"/>
    <w:rsid w:val="00983086"/>
    <w:rsid w:val="009C02FC"/>
    <w:rsid w:val="009D2E7B"/>
    <w:rsid w:val="009D3F32"/>
    <w:rsid w:val="009D4C9F"/>
    <w:rsid w:val="00A00E7B"/>
    <w:rsid w:val="00A064FD"/>
    <w:rsid w:val="00A17F0B"/>
    <w:rsid w:val="00A30D02"/>
    <w:rsid w:val="00A543DF"/>
    <w:rsid w:val="00A55A95"/>
    <w:rsid w:val="00A63074"/>
    <w:rsid w:val="00A66659"/>
    <w:rsid w:val="00A837FF"/>
    <w:rsid w:val="00AA3C73"/>
    <w:rsid w:val="00AB2232"/>
    <w:rsid w:val="00AB7A25"/>
    <w:rsid w:val="00AD6500"/>
    <w:rsid w:val="00AF25A0"/>
    <w:rsid w:val="00AF7A26"/>
    <w:rsid w:val="00B24BD5"/>
    <w:rsid w:val="00B465D8"/>
    <w:rsid w:val="00B55148"/>
    <w:rsid w:val="00B557FF"/>
    <w:rsid w:val="00B63C8F"/>
    <w:rsid w:val="00B72D1A"/>
    <w:rsid w:val="00BB08E1"/>
    <w:rsid w:val="00BC2526"/>
    <w:rsid w:val="00BD1454"/>
    <w:rsid w:val="00BF55EB"/>
    <w:rsid w:val="00C02CC3"/>
    <w:rsid w:val="00C10124"/>
    <w:rsid w:val="00C13E44"/>
    <w:rsid w:val="00C171C3"/>
    <w:rsid w:val="00C343A4"/>
    <w:rsid w:val="00C41ADF"/>
    <w:rsid w:val="00CA0FFB"/>
    <w:rsid w:val="00CB11B5"/>
    <w:rsid w:val="00D26A4B"/>
    <w:rsid w:val="00D2756F"/>
    <w:rsid w:val="00D32400"/>
    <w:rsid w:val="00D32466"/>
    <w:rsid w:val="00D56583"/>
    <w:rsid w:val="00D706BE"/>
    <w:rsid w:val="00D84E81"/>
    <w:rsid w:val="00DC52F9"/>
    <w:rsid w:val="00E21325"/>
    <w:rsid w:val="00E27509"/>
    <w:rsid w:val="00E32342"/>
    <w:rsid w:val="00E47FA0"/>
    <w:rsid w:val="00E523E0"/>
    <w:rsid w:val="00E5532E"/>
    <w:rsid w:val="00E623FC"/>
    <w:rsid w:val="00E67346"/>
    <w:rsid w:val="00EC3907"/>
    <w:rsid w:val="00EE2239"/>
    <w:rsid w:val="00EF36F4"/>
    <w:rsid w:val="00F35BB0"/>
    <w:rsid w:val="00F41DB5"/>
    <w:rsid w:val="00F60389"/>
    <w:rsid w:val="00F67EB6"/>
    <w:rsid w:val="00FA56F1"/>
    <w:rsid w:val="00FC211B"/>
    <w:rsid w:val="00FD01D8"/>
    <w:rsid w:val="00FD0D8A"/>
    <w:rsid w:val="04B213C1"/>
    <w:rsid w:val="057E74F5"/>
    <w:rsid w:val="05A131E3"/>
    <w:rsid w:val="0A9F4195"/>
    <w:rsid w:val="0B6D6042"/>
    <w:rsid w:val="0D224E4F"/>
    <w:rsid w:val="101C440E"/>
    <w:rsid w:val="114E06C3"/>
    <w:rsid w:val="11C91AF8"/>
    <w:rsid w:val="15E2762C"/>
    <w:rsid w:val="16CA259A"/>
    <w:rsid w:val="17D80473"/>
    <w:rsid w:val="183028D1"/>
    <w:rsid w:val="18D94D16"/>
    <w:rsid w:val="1B8F6E3F"/>
    <w:rsid w:val="1C024584"/>
    <w:rsid w:val="1D61352C"/>
    <w:rsid w:val="1E7B061E"/>
    <w:rsid w:val="1F0B7BF4"/>
    <w:rsid w:val="1F14208B"/>
    <w:rsid w:val="207F7B8E"/>
    <w:rsid w:val="20B5008E"/>
    <w:rsid w:val="21F11323"/>
    <w:rsid w:val="22EA5D72"/>
    <w:rsid w:val="24561911"/>
    <w:rsid w:val="25800FD6"/>
    <w:rsid w:val="26A34BB6"/>
    <w:rsid w:val="2A6428AE"/>
    <w:rsid w:val="2B847C6D"/>
    <w:rsid w:val="2D1C7470"/>
    <w:rsid w:val="2D870D8D"/>
    <w:rsid w:val="2E335B48"/>
    <w:rsid w:val="302C5C1C"/>
    <w:rsid w:val="311A1F18"/>
    <w:rsid w:val="315E1E05"/>
    <w:rsid w:val="319620CE"/>
    <w:rsid w:val="35AA386B"/>
    <w:rsid w:val="3688348A"/>
    <w:rsid w:val="39616936"/>
    <w:rsid w:val="3C4D4F50"/>
    <w:rsid w:val="3DFC6C2D"/>
    <w:rsid w:val="3DFE0BF8"/>
    <w:rsid w:val="3F163D1F"/>
    <w:rsid w:val="402C30CE"/>
    <w:rsid w:val="445F194D"/>
    <w:rsid w:val="449F6565"/>
    <w:rsid w:val="45E5269D"/>
    <w:rsid w:val="4E870795"/>
    <w:rsid w:val="4E9764FE"/>
    <w:rsid w:val="4EA8496E"/>
    <w:rsid w:val="503F0BFC"/>
    <w:rsid w:val="50BB2978"/>
    <w:rsid w:val="50EC0D83"/>
    <w:rsid w:val="51905BB3"/>
    <w:rsid w:val="51D57A6A"/>
    <w:rsid w:val="52944C12"/>
    <w:rsid w:val="538C05FC"/>
    <w:rsid w:val="552F7491"/>
    <w:rsid w:val="56755377"/>
    <w:rsid w:val="56D54068"/>
    <w:rsid w:val="56F02C50"/>
    <w:rsid w:val="589046EA"/>
    <w:rsid w:val="597D4C6F"/>
    <w:rsid w:val="598D4799"/>
    <w:rsid w:val="5A737E20"/>
    <w:rsid w:val="5B5A4166"/>
    <w:rsid w:val="5C0C052C"/>
    <w:rsid w:val="61AA1D5B"/>
    <w:rsid w:val="62053A53"/>
    <w:rsid w:val="64BE25DF"/>
    <w:rsid w:val="677671A1"/>
    <w:rsid w:val="690A736D"/>
    <w:rsid w:val="69586B5E"/>
    <w:rsid w:val="6C044D7B"/>
    <w:rsid w:val="6DE035C6"/>
    <w:rsid w:val="6EAD133E"/>
    <w:rsid w:val="6F7C10CD"/>
    <w:rsid w:val="746C5BB4"/>
    <w:rsid w:val="74FC0CE6"/>
    <w:rsid w:val="759E7FEF"/>
    <w:rsid w:val="76E93A99"/>
    <w:rsid w:val="77316C41"/>
    <w:rsid w:val="77BE6DDB"/>
    <w:rsid w:val="77BF424C"/>
    <w:rsid w:val="77EC376A"/>
    <w:rsid w:val="78FC4816"/>
    <w:rsid w:val="794932DF"/>
    <w:rsid w:val="7E4E00D8"/>
    <w:rsid w:val="7F4271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6"/>
    <w:qFormat/>
    <w:uiPriority w:val="9"/>
    <w:pPr>
      <w:spacing w:before="340" w:after="330" w:line="578" w:lineRule="auto"/>
      <w:outlineLvl w:val="0"/>
    </w:pPr>
    <w:rPr>
      <w:kern w:val="44"/>
      <w:sz w:val="44"/>
      <w:szCs w:val="44"/>
    </w:rPr>
  </w:style>
  <w:style w:type="paragraph" w:styleId="4">
    <w:name w:val="heading 2"/>
    <w:basedOn w:val="1"/>
    <w:next w:val="1"/>
    <w:link w:val="2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2"/>
    <w:unhideWhenUsed/>
    <w:qFormat/>
    <w:uiPriority w:val="9"/>
    <w:pPr>
      <w:keepNext/>
      <w:keepLines/>
      <w:spacing w:before="260" w:after="260" w:line="413" w:lineRule="auto"/>
      <w:outlineLvl w:val="2"/>
    </w:pPr>
    <w:rPr>
      <w:b/>
      <w:sz w:val="32"/>
    </w:rPr>
  </w:style>
  <w:style w:type="paragraph" w:styleId="6">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7">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annotation text"/>
    <w:basedOn w:val="1"/>
    <w:semiHidden/>
    <w:unhideWhenUsed/>
    <w:qFormat/>
    <w:uiPriority w:val="99"/>
    <w:pPr>
      <w:jc w:val="left"/>
    </w:pPr>
  </w:style>
  <w:style w:type="paragraph" w:styleId="9">
    <w:name w:val="Body Text"/>
    <w:basedOn w:val="1"/>
    <w:qFormat/>
    <w:uiPriority w:val="1"/>
    <w:pPr>
      <w:spacing w:before="115"/>
      <w:ind w:left="600"/>
    </w:pPr>
    <w:rPr>
      <w:rFonts w:ascii="宋体" w:hAnsi="宋体"/>
      <w:sz w:val="20"/>
      <w:szCs w:val="20"/>
    </w:rPr>
  </w:style>
  <w:style w:type="paragraph" w:styleId="10">
    <w:name w:val="Balloon Text"/>
    <w:basedOn w:val="1"/>
    <w:link w:val="2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itle"/>
    <w:basedOn w:val="1"/>
    <w:next w:val="1"/>
    <w:link w:val="39"/>
    <w:qFormat/>
    <w:uiPriority w:val="10"/>
    <w:pPr>
      <w:spacing w:before="240" w:after="60"/>
      <w:jc w:val="center"/>
      <w:outlineLvl w:val="0"/>
    </w:pPr>
    <w:rPr>
      <w:rFonts w:asciiTheme="majorHAnsi" w:hAnsiTheme="majorHAnsi" w:eastAsiaTheme="majorEastAsia" w:cstheme="majorBidi"/>
      <w:b/>
      <w:bCs/>
      <w:sz w:val="32"/>
      <w:szCs w:val="32"/>
    </w:rPr>
  </w:style>
  <w:style w:type="table" w:styleId="16">
    <w:name w:val="Table Grid"/>
    <w:basedOn w:val="15"/>
    <w:qFormat/>
    <w:uiPriority w:val="0"/>
    <w:rPr>
      <w:rFonts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customStyle="1" w:styleId="19">
    <w:name w:val="页眉 字符"/>
    <w:basedOn w:val="17"/>
    <w:link w:val="12"/>
    <w:qFormat/>
    <w:uiPriority w:val="99"/>
    <w:rPr>
      <w:sz w:val="18"/>
      <w:szCs w:val="18"/>
    </w:rPr>
  </w:style>
  <w:style w:type="character" w:customStyle="1" w:styleId="20">
    <w:name w:val="页脚 字符"/>
    <w:basedOn w:val="17"/>
    <w:link w:val="11"/>
    <w:qFormat/>
    <w:uiPriority w:val="99"/>
    <w:rPr>
      <w:sz w:val="18"/>
      <w:szCs w:val="18"/>
    </w:rPr>
  </w:style>
  <w:style w:type="character" w:customStyle="1" w:styleId="21">
    <w:name w:val="批注框文本 字符"/>
    <w:basedOn w:val="17"/>
    <w:link w:val="10"/>
    <w:semiHidden/>
    <w:qFormat/>
    <w:uiPriority w:val="99"/>
    <w:rPr>
      <w:sz w:val="18"/>
      <w:szCs w:val="18"/>
    </w:rPr>
  </w:style>
  <w:style w:type="character" w:customStyle="1" w:styleId="22">
    <w:name w:val="标题 3 字符"/>
    <w:basedOn w:val="17"/>
    <w:link w:val="5"/>
    <w:qFormat/>
    <w:uiPriority w:val="9"/>
    <w:rPr>
      <w:b/>
      <w:sz w:val="32"/>
    </w:rPr>
  </w:style>
  <w:style w:type="character" w:customStyle="1" w:styleId="23">
    <w:name w:val="标题 2 字符"/>
    <w:basedOn w:val="17"/>
    <w:link w:val="4"/>
    <w:qFormat/>
    <w:uiPriority w:val="9"/>
    <w:rPr>
      <w:rFonts w:asciiTheme="majorHAnsi" w:hAnsiTheme="majorHAnsi" w:eastAsiaTheme="majorEastAsia" w:cstheme="majorBidi"/>
      <w:b/>
      <w:bCs/>
      <w:sz w:val="32"/>
      <w:szCs w:val="32"/>
    </w:rPr>
  </w:style>
  <w:style w:type="paragraph" w:customStyle="1" w:styleId="24">
    <w:name w:val="列表段落1"/>
    <w:basedOn w:val="1"/>
    <w:qFormat/>
    <w:uiPriority w:val="34"/>
    <w:pPr>
      <w:ind w:firstLine="420" w:firstLineChars="200"/>
    </w:pPr>
  </w:style>
  <w:style w:type="paragraph" w:styleId="25">
    <w:name w:val="List Paragraph"/>
    <w:basedOn w:val="1"/>
    <w:qFormat/>
    <w:uiPriority w:val="34"/>
    <w:pPr>
      <w:ind w:firstLine="420" w:firstLineChars="200"/>
    </w:pPr>
  </w:style>
  <w:style w:type="character" w:customStyle="1" w:styleId="26">
    <w:name w:val="标题 1 字符"/>
    <w:basedOn w:val="17"/>
    <w:link w:val="3"/>
    <w:qFormat/>
    <w:uiPriority w:val="9"/>
    <w:rPr>
      <w:b/>
      <w:bCs/>
      <w:kern w:val="44"/>
      <w:sz w:val="44"/>
      <w:szCs w:val="44"/>
    </w:rPr>
  </w:style>
  <w:style w:type="paragraph" w:customStyle="1" w:styleId="27">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8">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9">
    <w:name w:val="样式1"/>
    <w:basedOn w:val="3"/>
    <w:next w:val="1"/>
    <w:qFormat/>
    <w:uiPriority w:val="0"/>
    <w:pPr>
      <w:spacing w:before="100" w:after="90"/>
    </w:pPr>
  </w:style>
  <w:style w:type="paragraph" w:customStyle="1" w:styleId="30">
    <w:name w:val="样式2"/>
    <w:basedOn w:val="3"/>
    <w:next w:val="1"/>
    <w:qFormat/>
    <w:uiPriority w:val="0"/>
    <w:pPr>
      <w:spacing w:before="120" w:after="120" w:line="360" w:lineRule="auto"/>
    </w:pPr>
  </w:style>
  <w:style w:type="paragraph" w:customStyle="1" w:styleId="31">
    <w:name w:val="WPSOffice手动目录 1"/>
    <w:qFormat/>
    <w:uiPriority w:val="0"/>
    <w:rPr>
      <w:rFonts w:asciiTheme="minorHAnsi" w:hAnsiTheme="minorHAnsi" w:eastAsiaTheme="minorEastAsia" w:cstheme="minorBidi"/>
      <w:lang w:val="en-US" w:eastAsia="zh-CN" w:bidi="ar-SA"/>
    </w:rPr>
  </w:style>
  <w:style w:type="paragraph" w:customStyle="1" w:styleId="32">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3">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4">
    <w:name w:val="Table Paragraph"/>
    <w:basedOn w:val="1"/>
    <w:qFormat/>
    <w:uiPriority w:val="1"/>
  </w:style>
  <w:style w:type="paragraph" w:styleId="35">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36">
    <w:name w:val="网格型1"/>
    <w:basedOn w:val="1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Block Label"/>
    <w:basedOn w:val="14"/>
    <w:next w:val="1"/>
    <w:qFormat/>
    <w:uiPriority w:val="0"/>
    <w:pPr>
      <w:keepNext/>
      <w:keepLines/>
      <w:tabs>
        <w:tab w:val="left" w:pos="360"/>
      </w:tabs>
      <w:spacing w:after="240"/>
      <w:ind w:left="2520" w:hanging="420"/>
      <w:jc w:val="both"/>
      <w:outlineLvl w:val="9"/>
    </w:pPr>
    <w:rPr>
      <w:rFonts w:ascii="Times new Roam" w:hAnsi="Times new Roam" w:cs="Book Antiqua" w:eastAsiaTheme="minorEastAsia"/>
      <w:bCs w:val="0"/>
      <w:color w:val="0063A8"/>
      <w:kern w:val="0"/>
      <w:sz w:val="24"/>
      <w:szCs w:val="26"/>
      <w:u w:val="double"/>
      <w14:numSpacing w14:val="tabular"/>
    </w:rPr>
  </w:style>
  <w:style w:type="paragraph" w:customStyle="1" w:styleId="38">
    <w:name w:val="Step"/>
    <w:basedOn w:val="1"/>
    <w:qFormat/>
    <w:uiPriority w:val="0"/>
    <w:pPr>
      <w:tabs>
        <w:tab w:val="left" w:pos="3420"/>
        <w:tab w:val="left" w:pos="3686"/>
      </w:tabs>
      <w:adjustRightInd w:val="0"/>
      <w:snapToGrid w:val="0"/>
      <w:spacing w:before="160" w:after="160"/>
      <w:ind w:left="1134" w:hanging="283"/>
    </w:pPr>
    <w:rPr>
      <w:kern w:val="0"/>
    </w:rPr>
  </w:style>
  <w:style w:type="character" w:customStyle="1" w:styleId="39">
    <w:name w:val="标题 字符"/>
    <w:basedOn w:val="17"/>
    <w:link w:val="14"/>
    <w:qFormat/>
    <w:uiPriority w:val="10"/>
    <w:rPr>
      <w:rFonts w:asciiTheme="majorHAnsi" w:hAnsiTheme="majorHAnsi" w:eastAsiaTheme="majorEastAsia" w:cstheme="majorBidi"/>
      <w:b/>
      <w:bCs/>
      <w:kern w:val="2"/>
      <w:sz w:val="32"/>
      <w:szCs w:val="32"/>
    </w:rPr>
  </w:style>
  <w:style w:type="table" w:customStyle="1" w:styleId="40">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10.png"/><Relationship Id="rId10" Type="http://schemas.openxmlformats.org/officeDocument/2006/relationships/image" Target="media/image9.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9</Pages>
  <Words>2257</Words>
  <Characters>2505</Characters>
  <Lines>20</Lines>
  <Paragraphs>5</Paragraphs>
  <TotalTime>3</TotalTime>
  <ScaleCrop>false</ScaleCrop>
  <LinksUpToDate>false</LinksUpToDate>
  <CharactersWithSpaces>2602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南瓜土豆</cp:lastModifiedBy>
  <cp:lastPrinted>2022-11-15T03:28:00Z</cp:lastPrinted>
  <dcterms:modified xsi:type="dcterms:W3CDTF">2022-12-20T07:56:08Z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B56A9F9C4A8A4249A7086ABF7058B32B</vt:lpwstr>
  </property>
</Properties>
</file>