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p>
      <w:pPr>
        <w:numPr>
          <w:ilvl w:val="0"/>
          <w:numId w:val="0"/>
        </w:numPr>
        <w:spacing w:before="0" w:line="619" w:lineRule="exact"/>
        <w:ind w:leftChars="0" w:right="0" w:rightChars="0"/>
        <w:jc w:val="center"/>
        <w:rPr>
          <w:rFonts w:ascii="微软雅黑" w:hAnsi="微软雅黑" w:eastAsia="微软雅黑"/>
          <w:b/>
          <w:sz w:val="52"/>
          <w:szCs w:val="52"/>
        </w:rPr>
      </w:pPr>
      <w:r>
        <w:rPr>
          <w:rFonts w:hint="eastAsia" w:ascii="微软雅黑" w:hAnsi="微软雅黑" w:eastAsia="微软雅黑" w:cstheme="minorBidi"/>
          <w:b/>
          <w:kern w:val="2"/>
          <w:sz w:val="52"/>
          <w:szCs w:val="52"/>
          <w:lang w:val="en-US" w:eastAsia="zh-CN" w:bidi="ar-SA"/>
        </w:rPr>
        <w:t>智能天线分配器</w:t>
      </w:r>
    </w:p>
    <w:bookmarkEnd w:id="0"/>
    <w:p>
      <w:pPr>
        <w:spacing w:line="360" w:lineRule="auto"/>
        <w:jc w:val="center"/>
        <w:rPr>
          <w:rFonts w:hint="eastAsia" w:ascii="微软雅黑" w:hAnsi="微软雅黑" w:eastAsia="微软雅黑"/>
          <w:color w:val="1E1916"/>
          <w:w w:val="110"/>
          <w:sz w:val="36"/>
          <w:szCs w:val="36"/>
        </w:rPr>
      </w:pPr>
      <w:r>
        <w:rPr>
          <w:rFonts w:hint="eastAsia" w:ascii="微软雅黑" w:hAnsi="微软雅黑" w:eastAsia="微软雅黑"/>
          <w:color w:val="1E1916"/>
          <w:w w:val="110"/>
          <w:sz w:val="36"/>
          <w:szCs w:val="36"/>
        </w:rPr>
        <w:t>DW-UK-2</w:t>
      </w:r>
    </w:p>
    <w:p>
      <w:pPr>
        <w:spacing w:line="360" w:lineRule="auto"/>
        <w:jc w:val="center"/>
        <w:rPr>
          <w:rFonts w:hint="eastAsia" w:ascii="微软雅黑" w:hAnsi="微软雅黑" w:eastAsia="微软雅黑" w:cs="微软雅黑"/>
          <w:sz w:val="36"/>
          <w:szCs w:val="36"/>
          <w:highlight w:val="none"/>
          <w:vertAlign w:val="subscript"/>
          <w:lang w:eastAsia="zh-CN"/>
        </w:rPr>
      </w:pPr>
      <w:r>
        <w:rPr>
          <w:rFonts w:hint="eastAsia" w:ascii="微软雅黑" w:hAnsi="微软雅黑" w:eastAsia="微软雅黑" w:cs="微软雅黑"/>
          <w:sz w:val="36"/>
          <w:szCs w:val="36"/>
          <w:highlight w:val="none"/>
          <w:vertAlign w:val="subscript"/>
          <w:lang w:eastAsia="zh-CN"/>
        </w:rPr>
        <w:t>、</w:t>
      </w:r>
    </w:p>
    <w:p>
      <w:pPr>
        <w:spacing w:line="360" w:lineRule="auto"/>
        <w:jc w:val="center"/>
        <w:rPr>
          <w:rFonts w:hint="eastAsia" w:ascii="微软雅黑" w:hAnsi="微软雅黑" w:eastAsia="微软雅黑" w:cs="微软雅黑"/>
          <w:sz w:val="36"/>
          <w:szCs w:val="36"/>
          <w:highlight w:val="none"/>
          <w:vertAlign w:val="subscript"/>
          <w:lang w:eastAsia="zh-CN"/>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tabs>
          <w:tab w:val="left" w:pos="2985"/>
          <w:tab w:val="center" w:pos="5201"/>
        </w:tabs>
        <w:spacing w:line="260" w:lineRule="atLeast"/>
        <w:jc w:val="cente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outlineLvl w:val="0"/>
        <w:rPr>
          <w:rFonts w:ascii="Arial" w:hAnsi="Arial" w:cs="Arial" w:eastAsiaTheme="minorEastAsia"/>
          <w:b/>
          <w:bCs/>
          <w:sz w:val="36"/>
          <w:szCs w:val="36"/>
        </w:rPr>
      </w:pPr>
      <w:r>
        <w:rPr>
          <w:rFonts w:hint="eastAsia" w:ascii="微软雅黑" w:hAnsi="微软雅黑" w:eastAsia="微软雅黑" w:cs="微软雅黑"/>
          <w:b/>
          <w:color w:val="000008"/>
          <w:kern w:val="0"/>
          <w:sz w:val="36"/>
          <w:szCs w:val="36"/>
          <w:lang w:val="en-US" w:eastAsia="zh-CN" w:bidi="ar"/>
        </w:rPr>
        <w:t>一、产品外观</w:t>
      </w:r>
    </w:p>
    <w:p>
      <w:pPr>
        <w:rPr>
          <w:rFonts w:ascii="Arial" w:hAnsi="Arial" w:cs="Arial" w:eastAsiaTheme="minorEastAsia"/>
          <w:b/>
          <w:bCs/>
          <w:sz w:val="52"/>
          <w:szCs w:val="52"/>
        </w:rPr>
      </w:pPr>
    </w:p>
    <w:p>
      <w:pPr>
        <w:jc w:val="center"/>
        <w:rPr>
          <w:rFonts w:hint="eastAsia" w:ascii="Arial" w:hAnsi="Arial" w:cs="Arial" w:eastAsiaTheme="minorEastAsia"/>
          <w:b/>
          <w:bCs/>
          <w:sz w:val="52"/>
          <w:szCs w:val="52"/>
          <w:lang w:eastAsia="zh-CN"/>
        </w:rPr>
      </w:pPr>
      <w:r>
        <w:drawing>
          <wp:inline distT="0" distB="0" distL="114300" distR="114300">
            <wp:extent cx="4402455" cy="3105785"/>
            <wp:effectExtent l="0" t="0" r="7620"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4402455" cy="3105785"/>
                    </a:xfrm>
                    <a:prstGeom prst="rect">
                      <a:avLst/>
                    </a:prstGeom>
                    <a:noFill/>
                    <a:ln>
                      <a:noFill/>
                    </a:ln>
                  </pic:spPr>
                </pic:pic>
              </a:graphicData>
            </a:graphic>
          </wp:inline>
        </w:drawing>
      </w:r>
    </w:p>
    <w:p>
      <w:pPr>
        <w:rPr>
          <w:rFonts w:ascii="Arial" w:hAnsi="Arial" w:cs="Arial" w:eastAsiaTheme="minorEastAsia"/>
          <w:b/>
          <w:bCs/>
          <w:sz w:val="52"/>
          <w:szCs w:val="52"/>
        </w:rPr>
      </w:pPr>
      <w:r>
        <w:rPr>
          <w:rFonts w:hint="eastAsia"/>
          <w:lang w:val="en-US" w:eastAsia="zh-CN"/>
        </w:rPr>
        <w:t xml:space="preserve">      </w:t>
      </w:r>
    </w:p>
    <w:p>
      <w:pPr>
        <w:widowControl/>
        <w:jc w:val="left"/>
        <w:rPr>
          <w:rFonts w:hint="eastAsia" w:ascii="微软雅黑" w:hAnsi="微软雅黑" w:eastAsia="微软雅黑" w:cs="微软雅黑"/>
          <w:b/>
          <w:bCs/>
          <w:color w:val="000008"/>
          <w:kern w:val="0"/>
          <w:sz w:val="20"/>
          <w:szCs w:val="20"/>
          <w:lang w:bidi="ar"/>
        </w:rPr>
      </w:pPr>
    </w:p>
    <w:p>
      <w:pPr>
        <w:widowControl/>
        <w:jc w:val="left"/>
        <w:rPr>
          <w:rFonts w:hint="eastAsia" w:ascii="微软雅黑" w:hAnsi="微软雅黑" w:eastAsia="微软雅黑" w:cs="微软雅黑"/>
          <w:b/>
          <w:bCs/>
          <w:color w:val="000008"/>
          <w:kern w:val="0"/>
          <w:sz w:val="20"/>
          <w:szCs w:val="20"/>
          <w:lang w:bidi="ar"/>
        </w:rPr>
      </w:pPr>
    </w:p>
    <w:p>
      <w:pPr>
        <w:outlineLvl w:val="0"/>
        <w:rPr>
          <w:rFonts w:hint="eastAsia" w:ascii="微软雅黑" w:hAnsi="微软雅黑" w:eastAsia="微软雅黑" w:cs="微软雅黑"/>
          <w:color w:val="231F20"/>
          <w:kern w:val="0"/>
          <w:sz w:val="24"/>
          <w:szCs w:val="24"/>
          <w:lang w:val="en-US" w:eastAsia="zh-CN" w:bidi="ar"/>
        </w:rPr>
      </w:pPr>
      <w:r>
        <w:rPr>
          <w:rFonts w:hint="eastAsia" w:ascii="微软雅黑" w:hAnsi="微软雅黑" w:eastAsia="微软雅黑" w:cs="微软雅黑"/>
          <w:b/>
          <w:color w:val="000008"/>
          <w:kern w:val="0"/>
          <w:sz w:val="36"/>
          <w:szCs w:val="36"/>
          <w:lang w:val="en-US" w:eastAsia="zh-CN" w:bidi="ar"/>
        </w:rPr>
        <w:t xml:space="preserve">二、产品特点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 xml:space="preserve">有源指向性天线采用对数周期偶极振子阵列，为UHF频段500-950M Hz的无线系统提供2合1式的高增益的接收能力，而接收频带已覆盖整个UHF通道。整式的定向天线设计，为分集式UHF无线系统提供理想的远程距离和稳定的接收表现。另外，亦可作多通道无线系统的共用天线。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 xml:space="preserve">天线放大器是设计于需要远距离接收和发射的应用，如体育馆、演唱会、剧场、及大型演出场所；或一些会阻挡视线及接收的环境。另外，天线可轻易稳固的安装；同时亦可容易地拆除，方便携带。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 xml:space="preserve">该天线可使用于所有UHF频段的接收机中，并提供180°角度固定频带中的定向覆盖接收。比较接收机附带的标准天线，天线放大器可提供在50欧姆阻抗时约6dB的射频信号提升。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天线是以工业级标准的玻璃铜及铜膜镀层构造，提供耐用，防腐蚀、抗紫外线、防震及轻型的特点，在不同环境下可作长时间及稳定的表现，而天线整合的BNC端子提供了高质量及抵抗阻抗的特性，并能减低连接线的拉力，只能将天线用于可提供8V直流偏压的接收机或分配系统</w:t>
      </w:r>
    </w:p>
    <w:p>
      <w:pPr>
        <w:outlineLvl w:val="0"/>
        <w:rPr>
          <w:rFonts w:hint="eastAsia" w:ascii="微软雅黑" w:hAnsi="微软雅黑" w:eastAsia="微软雅黑" w:cs="微软雅黑"/>
          <w:b/>
          <w:color w:val="000008"/>
          <w:kern w:val="0"/>
          <w:sz w:val="36"/>
          <w:szCs w:val="36"/>
          <w:lang w:val="en-US" w:eastAsia="zh-CN" w:bidi="ar"/>
        </w:rPr>
      </w:pPr>
      <w:r>
        <w:rPr>
          <w:rFonts w:hint="eastAsia" w:ascii="微软雅黑" w:hAnsi="微软雅黑" w:eastAsia="微软雅黑" w:cs="微软雅黑"/>
          <w:b/>
          <w:color w:val="000008"/>
          <w:kern w:val="0"/>
          <w:sz w:val="36"/>
          <w:szCs w:val="36"/>
          <w:lang w:val="en-US" w:eastAsia="zh-CN" w:bidi="ar"/>
        </w:rPr>
        <w:t>三、产品参数</w:t>
      </w:r>
    </w:p>
    <w:p>
      <w:pPr>
        <w:keepNext w:val="0"/>
        <w:keepLines w:val="0"/>
        <w:widowControl/>
        <w:suppressLineNumbers w:val="0"/>
        <w:jc w:val="left"/>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3.1</w:t>
      </w:r>
      <w:r>
        <w:rPr>
          <w:rFonts w:hint="default" w:ascii="微软雅黑" w:hAnsi="微软雅黑" w:eastAsia="微软雅黑" w:cs="微软雅黑"/>
          <w:b/>
          <w:bCs/>
          <w:color w:val="auto"/>
          <w:kern w:val="2"/>
          <w:sz w:val="30"/>
          <w:szCs w:val="30"/>
          <w:lang w:val="en-US" w:eastAsia="zh-CN" w:bidi="ar-SA"/>
        </w:rPr>
        <w:t>指向性天线技术指标</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天线类型 :对数周期偶极阵（LPDA）天线。</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工作频带 :500MHz-1GHz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工作电压 ；8V DC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增益：6dB典型 最大值10dB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阻抗：50欧姆 典型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电压驻波比：≦1.7.：1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指向性 ;椭圆形180°典型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指向极性 :垂直（于垂直安装）</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导波器段数 ；11段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连接端子 ;固定式直角 BNC母座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重量 :310克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外形尺寸:348mm长×325mm高×25mm厚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构造 ：玻璃铜及铜膜镜层</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涂层 ：暗黑色</w:t>
      </w:r>
    </w:p>
    <w:p>
      <w:pPr>
        <w:widowControl/>
        <w:ind w:firstLine="480" w:firstLineChars="200"/>
        <w:jc w:val="left"/>
        <w:rPr>
          <w:rFonts w:hint="eastAsia" w:ascii="Arial" w:hAnsi="Arial" w:eastAsia="微软雅黑" w:cs="Arial"/>
          <w:sz w:val="24"/>
          <w:szCs w:val="24"/>
          <w:highlight w:val="none"/>
          <w:lang w:val="en-US" w:eastAsia="zh-CN"/>
        </w:rPr>
      </w:pPr>
    </w:p>
    <w:p>
      <w:pPr>
        <w:keepNext w:val="0"/>
        <w:keepLines w:val="0"/>
        <w:widowControl/>
        <w:suppressLineNumbers w:val="0"/>
        <w:jc w:val="left"/>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3.2</w:t>
      </w:r>
      <w:r>
        <w:rPr>
          <w:rFonts w:hint="default" w:ascii="微软雅黑" w:hAnsi="微软雅黑" w:eastAsia="微软雅黑" w:cs="微软雅黑"/>
          <w:b/>
          <w:bCs/>
          <w:color w:val="auto"/>
          <w:kern w:val="2"/>
          <w:sz w:val="30"/>
          <w:szCs w:val="30"/>
          <w:lang w:val="en-US" w:eastAsia="zh-CN" w:bidi="ar-SA"/>
        </w:rPr>
        <w:t>天线分配放大器技术指标</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天线分配器：一分二 / 一分四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工作频带 ：</w:t>
      </w:r>
      <w:r>
        <w:rPr>
          <w:rFonts w:hint="default" w:ascii="微软雅黑" w:hAnsi="微软雅黑" w:eastAsia="微软雅黑" w:cs="微软雅黑"/>
          <w:sz w:val="24"/>
          <w:szCs w:val="24"/>
          <w:highlight w:val="none"/>
          <w:lang w:val="en-US" w:eastAsia="zh-CN"/>
        </w:rPr>
        <w:t xml:space="preserve">500MHz - 1GHz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增益 ;</w:t>
      </w:r>
      <w:r>
        <w:rPr>
          <w:rFonts w:hint="default" w:ascii="微软雅黑" w:hAnsi="微软雅黑" w:eastAsia="微软雅黑" w:cs="微软雅黑"/>
          <w:sz w:val="24"/>
          <w:szCs w:val="24"/>
          <w:highlight w:val="none"/>
          <w:lang w:val="en-US" w:eastAsia="zh-CN"/>
        </w:rPr>
        <w:t xml:space="preserve">6 - 10dB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工作电源 ；</w:t>
      </w:r>
      <w:r>
        <w:rPr>
          <w:rFonts w:hint="default" w:ascii="微软雅黑" w:hAnsi="微软雅黑" w:eastAsia="微软雅黑" w:cs="微软雅黑"/>
          <w:sz w:val="24"/>
          <w:szCs w:val="24"/>
          <w:highlight w:val="none"/>
          <w:lang w:val="en-US" w:eastAsia="zh-CN"/>
        </w:rPr>
        <w:t xml:space="preserve">DC 12V 2A / DC 12V 3A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0" w:leftChars="0" w:hanging="420" w:firstLineChars="0"/>
        <w:jc w:val="left"/>
        <w:textAlignment w:val="auto"/>
        <w:rPr>
          <w:rFonts w:hint="default"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输出外接电源 ：</w:t>
      </w:r>
      <w:r>
        <w:rPr>
          <w:rFonts w:hint="default" w:ascii="微软雅黑" w:hAnsi="微软雅黑" w:eastAsia="微软雅黑" w:cs="微软雅黑"/>
          <w:sz w:val="24"/>
          <w:szCs w:val="24"/>
          <w:highlight w:val="none"/>
          <w:lang w:val="en-US" w:eastAsia="zh-CN"/>
        </w:rPr>
        <w:t>DC 12V 800MA</w:t>
      </w: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outlineLvl w:val="9"/>
        <w:rPr>
          <w:rFonts w:hint="eastAsia" w:ascii="微软雅黑" w:hAnsi="微软雅黑" w:eastAsia="微软雅黑" w:cs="微软雅黑"/>
          <w:b/>
          <w:color w:val="000008"/>
          <w:kern w:val="0"/>
          <w:sz w:val="36"/>
          <w:szCs w:val="36"/>
          <w:lang w:val="en-US" w:eastAsia="zh-CN" w:bidi="ar"/>
        </w:rPr>
      </w:pPr>
    </w:p>
    <w:p>
      <w:pPr>
        <w:pStyle w:val="2"/>
        <w:rPr>
          <w:rFonts w:hint="eastAsia"/>
          <w:lang w:val="en-US" w:eastAsia="zh-CN"/>
        </w:rPr>
      </w:pPr>
      <w:bookmarkStart w:id="1" w:name="_GoBack"/>
      <w:bookmarkEnd w:id="1"/>
    </w:p>
    <w:p>
      <w:pPr>
        <w:outlineLvl w:val="0"/>
      </w:pPr>
      <w:r>
        <w:rPr>
          <w:rFonts w:hint="eastAsia" w:ascii="微软雅黑" w:hAnsi="微软雅黑" w:eastAsia="微软雅黑" w:cs="微软雅黑"/>
          <w:b/>
          <w:color w:val="000008"/>
          <w:kern w:val="0"/>
          <w:sz w:val="36"/>
          <w:szCs w:val="36"/>
          <w:lang w:val="en-US" w:eastAsia="zh-CN" w:bidi="ar"/>
        </w:rPr>
        <w:t>四、产品功能</w:t>
      </w:r>
    </w:p>
    <w:p>
      <w:pPr>
        <w:keepNext w:val="0"/>
        <w:keepLines w:val="0"/>
        <w:widowControl/>
        <w:suppressLineNumbers w:val="0"/>
        <w:jc w:val="left"/>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 xml:space="preserve">4.1有源天线各部位名称及功能 </w:t>
      </w:r>
    </w:p>
    <w:p>
      <w:pPr>
        <w:keepNext w:val="0"/>
        <w:keepLines w:val="0"/>
        <w:widowControl/>
        <w:suppressLineNumbers w:val="0"/>
        <w:jc w:val="center"/>
        <w:outlineLvl w:val="9"/>
        <w:rPr>
          <w:rFonts w:hint="eastAsia" w:ascii="微软雅黑" w:hAnsi="微软雅黑" w:eastAsia="微软雅黑" w:cs="微软雅黑"/>
          <w:b/>
          <w:bCs/>
          <w:color w:val="auto"/>
          <w:kern w:val="2"/>
          <w:sz w:val="30"/>
          <w:szCs w:val="30"/>
          <w:lang w:val="en-US" w:eastAsia="zh-CN" w:bidi="ar-SA"/>
        </w:rPr>
      </w:pPr>
      <w:r>
        <w:drawing>
          <wp:inline distT="0" distB="0" distL="114300" distR="114300">
            <wp:extent cx="3806825" cy="3366135"/>
            <wp:effectExtent l="0" t="0" r="3175"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7"/>
                    <a:stretch>
                      <a:fillRect/>
                    </a:stretch>
                  </pic:blipFill>
                  <pic:spPr>
                    <a:xfrm>
                      <a:off x="0" y="0"/>
                      <a:ext cx="3806825" cy="3366135"/>
                    </a:xfrm>
                    <a:prstGeom prst="rect">
                      <a:avLst/>
                    </a:prstGeom>
                    <a:noFill/>
                    <a:ln>
                      <a:noFill/>
                    </a:ln>
                  </pic:spPr>
                </pic:pic>
              </a:graphicData>
            </a:graphic>
          </wp:inline>
        </w:drawing>
      </w:r>
    </w:p>
    <w:p>
      <w:pPr>
        <w:pStyle w:val="2"/>
        <w:rPr>
          <w:rFonts w:hint="default"/>
          <w:lang w:val="en-US" w:eastAsia="zh-CN"/>
        </w:rPr>
      </w:pPr>
    </w:p>
    <w:p>
      <w:pPr>
        <w:pStyle w:val="2"/>
        <w:jc w:val="center"/>
        <w:rPr>
          <w:rFonts w:hint="eastAsia" w:ascii="Arial" w:hAnsi="Arial" w:eastAsia="微软雅黑" w:cs="Arial"/>
          <w:sz w:val="24"/>
          <w:szCs w:val="24"/>
          <w:highlight w:val="none"/>
          <w:lang w:val="en-US" w:eastAsia="zh-CN"/>
        </w:rPr>
      </w:pP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① 有源天线放大模块：放大接收信号。 </w:t>
      </w: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② R F 指示灯：显示天线工作状态。 </w:t>
      </w: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③ BNC接头：使用天线电缆连接到具有8V DC电源的接收机或天线分 </w:t>
      </w: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配器的天线输入连接座。 </w:t>
      </w: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④ 支架座： </w:t>
      </w: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★有源指向性天线：用以架设在三脚架上。 </w:t>
      </w:r>
    </w:p>
    <w:p>
      <w:pPr>
        <w:widowControl/>
        <w:ind w:firstLine="480" w:firstLineChars="200"/>
        <w:jc w:val="left"/>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★有源挂墙式、壁挂式宽频天线：用以架设挂墙式角码和支架式角码上。</w:t>
      </w:r>
    </w:p>
    <w:p>
      <w:pPr>
        <w:widowControl/>
        <w:ind w:firstLine="480" w:firstLineChars="200"/>
        <w:jc w:val="left"/>
        <w:rPr>
          <w:rFonts w:hint="eastAsia" w:ascii="Arial" w:hAnsi="Arial" w:eastAsia="微软雅黑" w:cs="Arial"/>
          <w:sz w:val="24"/>
          <w:szCs w:val="24"/>
          <w:highlight w:val="none"/>
          <w:lang w:val="en-US" w:eastAsia="zh-CN"/>
        </w:rPr>
      </w:pPr>
    </w:p>
    <w:p>
      <w:pPr>
        <w:keepNext w:val="0"/>
        <w:keepLines w:val="0"/>
        <w:widowControl/>
        <w:suppressLineNumbers w:val="0"/>
        <w:ind w:left="1201" w:hanging="1201" w:hangingChars="400"/>
        <w:jc w:val="left"/>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 xml:space="preserve">4.2有源天线分配放大器各部位名称及功能 </w:t>
      </w:r>
      <w:r>
        <w:drawing>
          <wp:inline distT="0" distB="0" distL="114300" distR="114300">
            <wp:extent cx="4527550" cy="4881880"/>
            <wp:effectExtent l="0" t="0" r="6350" b="444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8"/>
                    <a:stretch>
                      <a:fillRect/>
                    </a:stretch>
                  </pic:blipFill>
                  <pic:spPr>
                    <a:xfrm>
                      <a:off x="0" y="0"/>
                      <a:ext cx="4527550" cy="4881880"/>
                    </a:xfrm>
                    <a:prstGeom prst="rect">
                      <a:avLst/>
                    </a:prstGeom>
                    <a:noFill/>
                    <a:ln>
                      <a:noFill/>
                    </a:ln>
                  </pic:spPr>
                </pic:pic>
              </a:graphicData>
            </a:graphic>
          </wp:inline>
        </w:drawing>
      </w:r>
    </w:p>
    <w:p>
      <w:pPr>
        <w:widowControl/>
        <w:ind w:firstLine="480" w:firstLineChars="200"/>
        <w:jc w:val="left"/>
        <w:rPr>
          <w:rFonts w:hint="eastAsia" w:ascii="Arial" w:hAnsi="Arial" w:eastAsia="微软雅黑" w:cs="Arial"/>
          <w:sz w:val="24"/>
          <w:szCs w:val="24"/>
          <w:highlight w:val="none"/>
          <w:lang w:val="en-US" w:eastAsia="zh-CN"/>
        </w:rPr>
      </w:pPr>
    </w:p>
    <w:p>
      <w:pPr>
        <w:widowControl/>
        <w:ind w:firstLine="420" w:firstLineChars="200"/>
        <w:jc w:val="left"/>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① DC电源输出：供给12V直流。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② 天线B信号输入接口：接收天线的信号，提供8V直流供给天线。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③ 天线B信号输出接口：输出天线的信号。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④ DC电源输入：天线分配放大器主机电源插座。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⑤ 天线A信号输出接口：输出天线的信号。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⑥ 天线A信号输入接口：接收天线的信号，提供8V直流供给天线。 </w:t>
      </w:r>
    </w:p>
    <w:p>
      <w:pPr>
        <w:keepNext w:val="0"/>
        <w:keepLines w:val="0"/>
        <w:widowControl/>
        <w:suppressLineNumbers w:val="0"/>
        <w:jc w:val="left"/>
        <w:rPr>
          <w:rFonts w:hint="eastAsia"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28"/>
          <w:szCs w:val="28"/>
          <w:lang w:val="en-US" w:eastAsia="zh-CN" w:bidi="ar-SA"/>
        </w:rPr>
        <w:t xml:space="preserve">安装说明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1.将支架座架设在三脚架或挂墙式角码上。 </w:t>
      </w:r>
    </w:p>
    <w:p>
      <w:pPr>
        <w:pStyle w:val="2"/>
        <w:keepNext w:val="0"/>
        <w:keepLines w:val="0"/>
        <w:pageBreakBefore w:val="0"/>
        <w:kinsoku/>
        <w:wordWrap/>
        <w:overflowPunct/>
        <w:topLinePunct w:val="0"/>
        <w:bidi w:val="0"/>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584065" cy="2218055"/>
            <wp:effectExtent l="0" t="0" r="635" b="444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9"/>
                    <a:stretch>
                      <a:fillRect/>
                    </a:stretch>
                  </pic:blipFill>
                  <pic:spPr>
                    <a:xfrm>
                      <a:off x="0" y="0"/>
                      <a:ext cx="4584065" cy="2218055"/>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2. 使用天线同轴电缆将两支有源天线的BNC接头③与天线分配器的天线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信号输入接口B②或A⑥连接。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3. 打开天线分配器电源开关，天线上的R F灯点亮，代表天线与有源放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大模块正常工作。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4. 将天线A信号输出接口与接收机天线A用同轴电缆连接，将天线B信号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输出接口与接收机天线B用同轴电缆连接，开启接收机与发射器。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5. 调整天线的方向角度至正确位置，即可获得最佳性能效果</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3670300" cy="2070100"/>
            <wp:effectExtent l="0" t="0" r="0" b="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0"/>
                    <a:stretch>
                      <a:fillRect/>
                    </a:stretch>
                  </pic:blipFill>
                  <pic:spPr>
                    <a:xfrm>
                      <a:off x="0" y="0"/>
                      <a:ext cx="3670300" cy="20701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 xml:space="preserve">注意：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1. 天线安装应高于1.8米的高度。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2. 天线位置要设在直接看到发射机而周边大于1.5米的范围内无障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碍物（大型金属品或干扰的信号源）的位置。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3. 连接到接收机与天线分配器的同轴电缆尽量减短。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4. 天线会受到天气环境的影响，在户外使用时，请把天线放置在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干燥的位置，湿气及雨水会影响BNC接头及同轴电缆线的能效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 xml:space="preserve">与安全。 </w:t>
      </w:r>
    </w:p>
    <w:p>
      <w:pPr>
        <w:widowControl/>
        <w:ind w:firstLine="420" w:firstLineChars="200"/>
        <w:jc w:val="left"/>
      </w:pPr>
    </w:p>
    <w:p>
      <w:pPr>
        <w:widowControl/>
        <w:ind w:firstLine="420" w:firstLineChars="200"/>
        <w:jc w:val="left"/>
      </w:pPr>
    </w:p>
    <w:p>
      <w:pPr>
        <w:widowControl/>
        <w:ind w:firstLine="420" w:firstLineChars="200"/>
        <w:jc w:val="left"/>
      </w:pPr>
    </w:p>
    <w:p>
      <w:pPr>
        <w:widowControl/>
        <w:ind w:firstLine="420" w:firstLineChars="200"/>
        <w:jc w:val="left"/>
        <w:rPr>
          <w:rFonts w:hint="eastAsia" w:ascii="Arial" w:hAnsi="Arial" w:eastAsia="微软雅黑" w:cs="Arial"/>
          <w:sz w:val="24"/>
          <w:szCs w:val="24"/>
          <w:highlight w:val="none"/>
          <w:lang w:val="en-US" w:eastAsia="zh-CN"/>
        </w:rPr>
      </w:pPr>
      <w:r>
        <w:rPr>
          <w:rFonts w:hint="eastAsia"/>
          <w:lang w:val="en-US" w:eastAsia="zh-CN"/>
        </w:rPr>
        <w:t xml:space="preserve"> </w:t>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FZDHTJW--GB1-0">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DF9CA"/>
    <w:multiLevelType w:val="singleLevel"/>
    <w:tmpl w:val="003DF9C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8F15804"/>
    <w:rsid w:val="092D5391"/>
    <w:rsid w:val="097D4F5F"/>
    <w:rsid w:val="0BE81B6C"/>
    <w:rsid w:val="101C440E"/>
    <w:rsid w:val="114E06C3"/>
    <w:rsid w:val="117619C8"/>
    <w:rsid w:val="15E2762C"/>
    <w:rsid w:val="16852CE2"/>
    <w:rsid w:val="16CA259A"/>
    <w:rsid w:val="17283A6B"/>
    <w:rsid w:val="17D80473"/>
    <w:rsid w:val="183028D1"/>
    <w:rsid w:val="18D94D16"/>
    <w:rsid w:val="19E971DB"/>
    <w:rsid w:val="1C024584"/>
    <w:rsid w:val="1D61352C"/>
    <w:rsid w:val="1E7B061E"/>
    <w:rsid w:val="1F10520A"/>
    <w:rsid w:val="1F14208B"/>
    <w:rsid w:val="207F7B8E"/>
    <w:rsid w:val="21F11323"/>
    <w:rsid w:val="22EA5D72"/>
    <w:rsid w:val="2398039C"/>
    <w:rsid w:val="25BE7EB3"/>
    <w:rsid w:val="2A6428AE"/>
    <w:rsid w:val="2A64640A"/>
    <w:rsid w:val="2B847C6D"/>
    <w:rsid w:val="2D1C7470"/>
    <w:rsid w:val="2D870D8D"/>
    <w:rsid w:val="2E335B48"/>
    <w:rsid w:val="302C5C1C"/>
    <w:rsid w:val="311A1F18"/>
    <w:rsid w:val="315E1E05"/>
    <w:rsid w:val="32130E41"/>
    <w:rsid w:val="331704BD"/>
    <w:rsid w:val="340547BA"/>
    <w:rsid w:val="37960F73"/>
    <w:rsid w:val="3825367C"/>
    <w:rsid w:val="38CC3AF8"/>
    <w:rsid w:val="39BD040F"/>
    <w:rsid w:val="3A9C797B"/>
    <w:rsid w:val="3BC66F24"/>
    <w:rsid w:val="3CFD2666"/>
    <w:rsid w:val="3DFC6C2D"/>
    <w:rsid w:val="3DFE0BF8"/>
    <w:rsid w:val="3E8A248B"/>
    <w:rsid w:val="3F163D1F"/>
    <w:rsid w:val="445F194D"/>
    <w:rsid w:val="460D7DBC"/>
    <w:rsid w:val="49C8030C"/>
    <w:rsid w:val="4A056E6A"/>
    <w:rsid w:val="4D063625"/>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D5091E"/>
    <w:rsid w:val="5D9E51B4"/>
    <w:rsid w:val="60600E46"/>
    <w:rsid w:val="61AA1D5B"/>
    <w:rsid w:val="62053A53"/>
    <w:rsid w:val="64BE25DF"/>
    <w:rsid w:val="65235B46"/>
    <w:rsid w:val="668C4743"/>
    <w:rsid w:val="677671A1"/>
    <w:rsid w:val="68FA3FFD"/>
    <w:rsid w:val="690A736D"/>
    <w:rsid w:val="69586B5E"/>
    <w:rsid w:val="6C044D7B"/>
    <w:rsid w:val="6DC01176"/>
    <w:rsid w:val="6DD731B8"/>
    <w:rsid w:val="6F80296B"/>
    <w:rsid w:val="728704B4"/>
    <w:rsid w:val="746C5BB4"/>
    <w:rsid w:val="77BE6DDB"/>
    <w:rsid w:val="77BF424C"/>
    <w:rsid w:val="78711F09"/>
    <w:rsid w:val="7B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2"/>
    <w:qFormat/>
    <w:uiPriority w:val="9"/>
    <w:pPr>
      <w:spacing w:before="340" w:after="330" w:line="578" w:lineRule="auto"/>
      <w:outlineLvl w:val="0"/>
    </w:pPr>
    <w:rPr>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字符"/>
    <w:basedOn w:val="13"/>
    <w:link w:val="10"/>
    <w:qFormat/>
    <w:uiPriority w:val="99"/>
    <w:rPr>
      <w:sz w:val="18"/>
      <w:szCs w:val="18"/>
    </w:rPr>
  </w:style>
  <w:style w:type="character" w:customStyle="1" w:styleId="16">
    <w:name w:val="页脚 字符"/>
    <w:basedOn w:val="13"/>
    <w:link w:val="9"/>
    <w:qFormat/>
    <w:uiPriority w:val="99"/>
    <w:rPr>
      <w:sz w:val="18"/>
      <w:szCs w:val="18"/>
    </w:rPr>
  </w:style>
  <w:style w:type="character" w:customStyle="1" w:styleId="17">
    <w:name w:val="批注框文本 字符"/>
    <w:basedOn w:val="13"/>
    <w:link w:val="8"/>
    <w:semiHidden/>
    <w:qFormat/>
    <w:uiPriority w:val="99"/>
    <w:rPr>
      <w:sz w:val="18"/>
      <w:szCs w:val="18"/>
    </w:rPr>
  </w:style>
  <w:style w:type="character" w:customStyle="1" w:styleId="18">
    <w:name w:val="标题 3 字符"/>
    <w:basedOn w:val="13"/>
    <w:link w:val="5"/>
    <w:qFormat/>
    <w:uiPriority w:val="9"/>
    <w:rPr>
      <w:b/>
      <w:sz w:val="32"/>
    </w:rPr>
  </w:style>
  <w:style w:type="character" w:customStyle="1" w:styleId="19">
    <w:name w:val="标题 2 字符"/>
    <w:basedOn w:val="13"/>
    <w:link w:val="4"/>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34"/>
    <w:pPr>
      <w:ind w:firstLine="420" w:firstLineChars="200"/>
    </w:pPr>
  </w:style>
  <w:style w:type="character" w:customStyle="1" w:styleId="22">
    <w:name w:val="标题 1 字符"/>
    <w:basedOn w:val="13"/>
    <w:link w:val="3"/>
    <w:qFormat/>
    <w:uiPriority w:val="9"/>
    <w:rPr>
      <w:b/>
      <w:bCs/>
      <w:kern w:val="44"/>
      <w:sz w:val="44"/>
      <w:szCs w:val="44"/>
    </w:rPr>
  </w:style>
  <w:style w:type="paragraph" w:customStyle="1" w:styleId="23">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4">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5">
    <w:name w:val="样式1"/>
    <w:basedOn w:val="3"/>
    <w:next w:val="1"/>
    <w:qFormat/>
    <w:uiPriority w:val="0"/>
    <w:pPr>
      <w:spacing w:before="100" w:after="90"/>
    </w:pPr>
  </w:style>
  <w:style w:type="paragraph" w:customStyle="1" w:styleId="26">
    <w:name w:val="样式2"/>
    <w:basedOn w:val="3"/>
    <w:next w:val="1"/>
    <w:qFormat/>
    <w:uiPriority w:val="0"/>
    <w:pPr>
      <w:spacing w:before="120" w:after="120" w:line="360" w:lineRule="auto"/>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2005</Words>
  <Characters>2150</Characters>
  <Lines>6</Lines>
  <Paragraphs>1</Paragraphs>
  <TotalTime>1</TotalTime>
  <ScaleCrop>false</ScaleCrop>
  <LinksUpToDate>false</LinksUpToDate>
  <CharactersWithSpaces>2274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2022-11-30T06:52:50Z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8B57B3BEA3FB4F5AA3763965E1B174BE</vt:lpwstr>
  </property>
</Properties>
</file>