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sz w:val="72"/>
          <w:szCs w:val="72"/>
        </w:rPr>
      </w:pPr>
      <w:bookmarkStart w:id="0" w:name="_Hlk34051380"/>
    </w:p>
    <w:p>
      <w:pPr>
        <w:jc w:val="center"/>
        <w:rPr>
          <w:rFonts w:ascii="微软雅黑" w:hAnsi="微软雅黑" w:eastAsia="微软雅黑" w:cs="微软雅黑"/>
          <w:b/>
          <w:bCs/>
          <w:sz w:val="72"/>
          <w:szCs w:val="72"/>
        </w:rPr>
      </w:pPr>
      <w:r>
        <w:rPr>
          <w:rFonts w:hint="eastAsia" w:ascii="微软雅黑" w:hAnsi="微软雅黑" w:eastAsia="微软雅黑" w:cs="微软雅黑"/>
          <w:b/>
          <w:bCs/>
          <w:sz w:val="72"/>
          <w:szCs w:val="72"/>
        </w:rPr>
        <w:t>会议专用地插</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pPr>
    </w:p>
    <w:p>
      <w:pPr>
        <w:spacing w:line="360" w:lineRule="auto"/>
        <w:ind w:firstLine="3642" w:firstLineChars="700"/>
        <w:jc w:val="left"/>
        <w:rPr>
          <w:rFonts w:hint="eastAsia" w:ascii="微软雅黑" w:hAnsi="微软雅黑" w:eastAsia="微软雅黑"/>
          <w:b/>
          <w:sz w:val="52"/>
          <w:szCs w:val="52"/>
          <w:lang w:val="en-US" w:eastAsia="zh-CN"/>
        </w:rPr>
      </w:pPr>
    </w:p>
    <w:p>
      <w:pPr>
        <w:spacing w:line="360" w:lineRule="auto"/>
        <w:ind w:firstLine="3122" w:firstLineChars="600"/>
        <w:jc w:val="left"/>
      </w:pPr>
      <w:bookmarkStart w:id="1" w:name="_GoBack"/>
      <w:bookmarkEnd w:id="1"/>
      <w:r>
        <w:rPr>
          <w:rFonts w:hint="eastAsia" w:ascii="微软雅黑" w:hAnsi="微软雅黑" w:eastAsia="微软雅黑"/>
          <w:b/>
          <w:sz w:val="52"/>
          <w:szCs w:val="52"/>
          <w:lang w:val="en-US" w:eastAsia="zh-CN"/>
        </w:rPr>
        <w:t>会议专用地插</w:t>
      </w:r>
    </w:p>
    <w:bookmarkEnd w:id="0"/>
    <w:p>
      <w:pPr>
        <w:spacing w:line="360" w:lineRule="auto"/>
        <w:ind w:firstLine="4320" w:firstLineChars="1200"/>
        <w:jc w:val="left"/>
        <w:rPr>
          <w:rFonts w:ascii="微软雅黑" w:hAnsi="微软雅黑" w:eastAsia="微软雅黑"/>
          <w:bCs/>
          <w:sz w:val="36"/>
          <w:szCs w:val="36"/>
        </w:rPr>
      </w:pPr>
      <w:r>
        <w:rPr>
          <w:rFonts w:hint="eastAsia" w:ascii="微软雅黑" w:hAnsi="微软雅黑" w:eastAsia="微软雅黑"/>
          <w:bCs/>
          <w:sz w:val="36"/>
          <w:szCs w:val="36"/>
        </w:rPr>
        <w:t>DM-D8</w:t>
      </w:r>
    </w:p>
    <w:p>
      <w:pPr>
        <w:spacing w:line="360" w:lineRule="auto"/>
        <w:jc w:val="center"/>
        <w:rPr>
          <w:rFonts w:ascii="微软雅黑" w:hAnsi="微软雅黑" w:eastAsia="微软雅黑" w:cs="微软雅黑"/>
          <w:sz w:val="36"/>
          <w:szCs w:val="36"/>
          <w:vertAlign w:val="subscript"/>
        </w:rPr>
      </w:pPr>
      <w:r>
        <w:rPr>
          <w:rFonts w:hint="eastAsia" w:ascii="微软雅黑" w:hAnsi="微软雅黑" w:eastAsia="微软雅黑" w:cs="微软雅黑"/>
          <w:sz w:val="36"/>
          <w:szCs w:val="36"/>
          <w:vertAlign w:val="subscript"/>
        </w:rPr>
        <w:t>V</w:t>
      </w:r>
      <w:r>
        <w:rPr>
          <w:rFonts w:ascii="微软雅黑" w:hAnsi="微软雅黑" w:eastAsia="微软雅黑" w:cs="微软雅黑"/>
          <w:sz w:val="36"/>
          <w:szCs w:val="36"/>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pStyle w:val="2"/>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highlight w:val="none"/>
        </w:rPr>
      </w:pPr>
      <w:r>
        <w:rPr>
          <w:rFonts w:hint="eastAsia" w:ascii="微软雅黑" w:hAnsi="微软雅黑" w:eastAsia="微软雅黑" w:cs="微软雅黑"/>
          <w:sz w:val="44"/>
          <w:szCs w:val="44"/>
        </w:rPr>
        <w:t>免责声明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highlight w:val="none"/>
        </w:rPr>
        <w:t>本手册中的信息已仔细检查，上海大因多媒体技术有限公司发言系统系列技</w:t>
      </w:r>
      <w:r>
        <w:rPr>
          <w:rFonts w:hint="eastAsia" w:ascii="微软雅黑" w:hAnsi="微软雅黑" w:eastAsia="微软雅黑" w:cs="微软雅黑"/>
          <w:sz w:val="24"/>
          <w:szCs w:val="24"/>
        </w:rPr>
        <w:t>术不存在侵犯任何专利权或其他第三方权利。</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V</w:t>
            </w:r>
            <w:r>
              <w:rPr>
                <w:rFonts w:ascii="微软雅黑" w:hAnsi="微软雅黑" w:eastAsia="微软雅黑" w:cs="微软雅黑"/>
                <w:color w:val="000000"/>
                <w:sz w:val="24"/>
                <w:szCs w:val="24"/>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2022年10月15日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ascii="微软雅黑" w:hAnsi="微软雅黑" w:eastAsia="微软雅黑" w:cs="微软雅黑"/>
                <w:color w:val="000000"/>
                <w:sz w:val="24"/>
                <w:szCs w:val="24"/>
              </w:rPr>
            </w:pPr>
          </w:p>
        </w:tc>
      </w:tr>
    </w:tbl>
    <w:p>
      <w:pPr>
        <w:pStyle w:val="2"/>
      </w:pPr>
    </w:p>
    <w:p>
      <w:pPr>
        <w:pStyle w:val="2"/>
      </w:pPr>
    </w:p>
    <w:p>
      <w:pPr>
        <w:widowControl/>
        <w:jc w:val="left"/>
        <w:rPr>
          <w:rFonts w:ascii="宋体" w:hAnsi="Times New Roman" w:eastAsia="宋体" w:cs="宋体"/>
          <w:color w:val="000000"/>
          <w:kern w:val="0"/>
          <w:sz w:val="24"/>
          <w:szCs w:val="24"/>
        </w:rPr>
      </w:pPr>
      <w:r>
        <w:br w:type="page"/>
      </w:r>
    </w:p>
    <w:p>
      <w:pPr>
        <w:pStyle w:val="34"/>
        <w:jc w:val="both"/>
        <w:rPr>
          <w:rFonts w:ascii="微软雅黑" w:hAnsi="微软雅黑"/>
        </w:rPr>
      </w:pPr>
    </w:p>
    <w:p>
      <w:pPr>
        <w:pStyle w:val="34"/>
        <w:jc w:val="both"/>
        <w:rPr>
          <w:rFonts w:ascii="微软雅黑" w:hAnsi="微软雅黑"/>
        </w:rPr>
      </w:pPr>
      <w:r>
        <w:rPr>
          <w:rFonts w:hint="eastAsia"/>
        </w:rPr>
        <w:t xml:space="preserve">                                   </w:t>
      </w:r>
      <w:r>
        <w:drawing>
          <wp:inline distT="0" distB="0" distL="114300" distR="114300">
            <wp:extent cx="1710055" cy="1938020"/>
            <wp:effectExtent l="0" t="0" r="0" b="0"/>
            <wp:docPr id="23" name="图片 22" descr="HY-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descr="HY-D4"/>
                    <pic:cNvPicPr>
                      <a:picLocks noChangeAspect="1"/>
                    </pic:cNvPicPr>
                  </pic:nvPicPr>
                  <pic:blipFill>
                    <a:blip r:embed="rId6" cstate="print"/>
                    <a:stretch>
                      <a:fillRect/>
                    </a:stretch>
                  </pic:blipFill>
                  <pic:spPr>
                    <a:xfrm>
                      <a:off x="0" y="0"/>
                      <a:ext cx="1710055" cy="1938020"/>
                    </a:xfrm>
                    <a:prstGeom prst="rect">
                      <a:avLst/>
                    </a:prstGeom>
                  </pic:spPr>
                </pic:pic>
              </a:graphicData>
            </a:graphic>
          </wp:inline>
        </w:drawing>
      </w:r>
    </w:p>
    <w:p>
      <w:pPr>
        <w:pStyle w:val="34"/>
        <w:jc w:val="center"/>
        <w:rPr>
          <w:rFonts w:ascii="微软雅黑" w:hAnsi="微软雅黑"/>
        </w:rPr>
      </w:pPr>
    </w:p>
    <w:p>
      <w:pPr>
        <w:pStyle w:val="34"/>
        <w:jc w:val="center"/>
        <w:rPr>
          <w:rFonts w:ascii="微软雅黑" w:hAnsi="微软雅黑"/>
        </w:rPr>
      </w:pPr>
    </w:p>
    <w:p>
      <w:pPr>
        <w:pStyle w:val="34"/>
        <w:jc w:val="both"/>
        <w:rPr>
          <w:rFonts w:ascii="微软雅黑" w:hAnsi="微软雅黑"/>
        </w:rPr>
      </w:pPr>
    </w:p>
    <w:p>
      <w:pPr>
        <w:pStyle w:val="3"/>
        <w:numPr>
          <w:ilvl w:val="0"/>
          <w:numId w:val="1"/>
        </w:numPr>
        <w:spacing w:before="312" w:beforeLines="100" w:after="312" w:afterLines="100" w:line="360" w:lineRule="auto"/>
        <w:ind w:left="0" w:firstLine="0"/>
        <w:outlineLvl w:val="0"/>
        <w:rPr>
          <w:rFonts w:ascii="微软雅黑" w:hAnsi="微软雅黑" w:eastAsia="微软雅黑" w:cs="微软雅黑"/>
          <w:sz w:val="36"/>
          <w:szCs w:val="36"/>
        </w:rPr>
      </w:pPr>
      <w:r>
        <w:rPr>
          <w:rFonts w:hint="eastAsia" w:ascii="微软雅黑" w:hAnsi="微软雅黑" w:eastAsia="微软雅黑" w:cs="微软雅黑"/>
          <w:sz w:val="36"/>
          <w:szCs w:val="36"/>
        </w:rPr>
        <w:t>产品特点</w:t>
      </w:r>
    </w:p>
    <w:p>
      <w:pPr>
        <w:numPr>
          <w:ilvl w:val="0"/>
          <w:numId w:val="2"/>
        </w:numPr>
        <w:autoSpaceDE w:val="0"/>
        <w:autoSpaceDN w:val="0"/>
        <w:spacing w:line="441"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会议专用地插，全铝合金机身；</w:t>
      </w:r>
    </w:p>
    <w:p>
      <w:pPr>
        <w:numPr>
          <w:ilvl w:val="0"/>
          <w:numId w:val="2"/>
        </w:numPr>
        <w:autoSpaceDE w:val="0"/>
        <w:autoSpaceDN w:val="0"/>
        <w:spacing w:line="441"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含三位6芯母座模块，可作会议系统连接跳线使用，地插与地插之间采取手拉手连接；</w:t>
      </w:r>
    </w:p>
    <w:p>
      <w:pPr>
        <w:numPr>
          <w:ilvl w:val="0"/>
          <w:numId w:val="2"/>
        </w:numPr>
        <w:autoSpaceDE w:val="0"/>
        <w:autoSpaceDN w:val="0"/>
        <w:spacing w:line="441"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金属外壳，具有防水、防尘、防静电的作用。</w:t>
      </w:r>
    </w:p>
    <w:p>
      <w:pPr>
        <w:autoSpaceDE w:val="0"/>
        <w:autoSpaceDN w:val="0"/>
        <w:spacing w:line="441" w:lineRule="exact"/>
        <w:jc w:val="left"/>
        <w:rPr>
          <w:color w:val="000006"/>
        </w:rPr>
      </w:pPr>
    </w:p>
    <w:p>
      <w:pPr>
        <w:pStyle w:val="2"/>
      </w:pPr>
    </w:p>
    <w:p>
      <w:pPr>
        <w:pStyle w:val="2"/>
      </w:pPr>
    </w:p>
    <w:p>
      <w:pPr>
        <w:pStyle w:val="2"/>
      </w:pPr>
    </w:p>
    <w:p>
      <w:pPr>
        <w:rPr>
          <w:sz w:val="20"/>
          <w:szCs w:val="20"/>
        </w:rPr>
      </w:pPr>
    </w:p>
    <w:p>
      <w:pPr>
        <w:rPr>
          <w:sz w:val="20"/>
          <w:szCs w:val="20"/>
        </w:rPr>
      </w:pPr>
    </w:p>
    <w:p/>
    <w:p/>
    <w:p>
      <w:pPr>
        <w:pStyle w:val="2"/>
      </w:pPr>
    </w:p>
    <w:p>
      <w:pPr>
        <w:pStyle w:val="2"/>
      </w:pPr>
    </w:p>
    <w:p>
      <w:pPr>
        <w:pStyle w:val="2"/>
      </w:pPr>
    </w:p>
    <w:p>
      <w:pPr>
        <w:pStyle w:val="2"/>
      </w:pPr>
    </w:p>
    <w:p/>
    <w:p/>
    <w:p>
      <w:pPr>
        <w:ind w:leftChars="-270" w:hanging="567" w:hangingChars="270"/>
        <w:jc w:val="center"/>
      </w:pPr>
    </w:p>
    <w:p>
      <w:pPr>
        <w:pStyle w:val="2"/>
      </w:pPr>
    </w:p>
    <w:p>
      <w:pPr>
        <w:pStyle w:val="2"/>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51109A"/>
    <w:multiLevelType w:val="multilevel"/>
    <w:tmpl w:val="1F51109A"/>
    <w:lvl w:ilvl="0" w:tentative="0">
      <w:start w:val="1"/>
      <w:numFmt w:val="japaneseCounting"/>
      <w:lvlText w:val="%1、"/>
      <w:lvlJc w:val="left"/>
      <w:pPr>
        <w:ind w:left="3870" w:hanging="510"/>
      </w:pPr>
      <w:rPr>
        <w:rFonts w:hint="default"/>
      </w:rPr>
    </w:lvl>
    <w:lvl w:ilvl="1" w:tentative="0">
      <w:start w:val="4"/>
      <w:numFmt w:val="japaneseCounting"/>
      <w:lvlText w:val="%2、"/>
      <w:lvlJc w:val="left"/>
      <w:pPr>
        <w:ind w:left="4500" w:hanging="720"/>
      </w:pPr>
      <w:rPr>
        <w:rFonts w:hint="default"/>
      </w:rPr>
    </w:lvl>
    <w:lvl w:ilvl="2" w:tentative="0">
      <w:start w:val="1"/>
      <w:numFmt w:val="lowerRoman"/>
      <w:lvlText w:val="%3."/>
      <w:lvlJc w:val="right"/>
      <w:pPr>
        <w:ind w:left="4620" w:hanging="420"/>
      </w:pPr>
    </w:lvl>
    <w:lvl w:ilvl="3" w:tentative="0">
      <w:start w:val="1"/>
      <w:numFmt w:val="decimal"/>
      <w:lvlText w:val="%4."/>
      <w:lvlJc w:val="left"/>
      <w:pPr>
        <w:ind w:left="5040" w:hanging="420"/>
      </w:pPr>
    </w:lvl>
    <w:lvl w:ilvl="4" w:tentative="0">
      <w:start w:val="1"/>
      <w:numFmt w:val="lowerLetter"/>
      <w:lvlText w:val="%5)"/>
      <w:lvlJc w:val="left"/>
      <w:pPr>
        <w:ind w:left="5460" w:hanging="420"/>
      </w:pPr>
    </w:lvl>
    <w:lvl w:ilvl="5" w:tentative="0">
      <w:start w:val="1"/>
      <w:numFmt w:val="lowerRoman"/>
      <w:lvlText w:val="%6."/>
      <w:lvlJc w:val="right"/>
      <w:pPr>
        <w:ind w:left="5880" w:hanging="420"/>
      </w:pPr>
    </w:lvl>
    <w:lvl w:ilvl="6" w:tentative="0">
      <w:start w:val="1"/>
      <w:numFmt w:val="decimal"/>
      <w:lvlText w:val="%7."/>
      <w:lvlJc w:val="left"/>
      <w:pPr>
        <w:ind w:left="6300" w:hanging="420"/>
      </w:pPr>
    </w:lvl>
    <w:lvl w:ilvl="7" w:tentative="0">
      <w:start w:val="1"/>
      <w:numFmt w:val="lowerLetter"/>
      <w:lvlText w:val="%8)"/>
      <w:lvlJc w:val="left"/>
      <w:pPr>
        <w:ind w:left="6720" w:hanging="420"/>
      </w:pPr>
    </w:lvl>
    <w:lvl w:ilvl="8" w:tentative="0">
      <w:start w:val="1"/>
      <w:numFmt w:val="lowerRoman"/>
      <w:lvlText w:val="%9."/>
      <w:lvlJc w:val="right"/>
      <w:pPr>
        <w:ind w:left="7140" w:hanging="420"/>
      </w:pPr>
    </w:lvl>
  </w:abstractNum>
  <w:abstractNum w:abstractNumId="1">
    <w:nsid w:val="612CB590"/>
    <w:multiLevelType w:val="singleLevel"/>
    <w:tmpl w:val="612CB590"/>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431A7"/>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1FFB"/>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62ED0"/>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35241C7"/>
    <w:rsid w:val="04B213C1"/>
    <w:rsid w:val="057E74F5"/>
    <w:rsid w:val="05A131E3"/>
    <w:rsid w:val="06684170"/>
    <w:rsid w:val="0A9F4195"/>
    <w:rsid w:val="0B6D6042"/>
    <w:rsid w:val="0B9A7041"/>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C024584"/>
    <w:rsid w:val="1D61352C"/>
    <w:rsid w:val="1E7B061E"/>
    <w:rsid w:val="1F0B7BF4"/>
    <w:rsid w:val="1F14208B"/>
    <w:rsid w:val="1FB71DA6"/>
    <w:rsid w:val="207F7B8E"/>
    <w:rsid w:val="21F11323"/>
    <w:rsid w:val="22EA5D72"/>
    <w:rsid w:val="24561911"/>
    <w:rsid w:val="25800FD6"/>
    <w:rsid w:val="25D30D3F"/>
    <w:rsid w:val="26A34BB6"/>
    <w:rsid w:val="2A6428AE"/>
    <w:rsid w:val="2B847C6D"/>
    <w:rsid w:val="2D1C7470"/>
    <w:rsid w:val="2D870D8D"/>
    <w:rsid w:val="2E335B48"/>
    <w:rsid w:val="2FB90FA6"/>
    <w:rsid w:val="302A3C52"/>
    <w:rsid w:val="302C5C1C"/>
    <w:rsid w:val="311A1F18"/>
    <w:rsid w:val="315E1E05"/>
    <w:rsid w:val="319620CE"/>
    <w:rsid w:val="3546508A"/>
    <w:rsid w:val="35AA386B"/>
    <w:rsid w:val="393578EF"/>
    <w:rsid w:val="39616936"/>
    <w:rsid w:val="3A323E2F"/>
    <w:rsid w:val="3ACA6ACC"/>
    <w:rsid w:val="3C4D4F50"/>
    <w:rsid w:val="3D5F318D"/>
    <w:rsid w:val="3DFC6C2D"/>
    <w:rsid w:val="3DFE0BF8"/>
    <w:rsid w:val="3F163D1F"/>
    <w:rsid w:val="402C30CE"/>
    <w:rsid w:val="40DC4AF4"/>
    <w:rsid w:val="41CE08E1"/>
    <w:rsid w:val="445F194D"/>
    <w:rsid w:val="449F6565"/>
    <w:rsid w:val="45E5269D"/>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DD540D3"/>
    <w:rsid w:val="5EEE3F19"/>
    <w:rsid w:val="5FB40CBE"/>
    <w:rsid w:val="60FD6695"/>
    <w:rsid w:val="612C0D28"/>
    <w:rsid w:val="61AA1D5B"/>
    <w:rsid w:val="62053A53"/>
    <w:rsid w:val="628E0538"/>
    <w:rsid w:val="64BE25DF"/>
    <w:rsid w:val="677671A1"/>
    <w:rsid w:val="690A736D"/>
    <w:rsid w:val="69586B5E"/>
    <w:rsid w:val="6C044D7B"/>
    <w:rsid w:val="6DE035C6"/>
    <w:rsid w:val="6E680AEE"/>
    <w:rsid w:val="6EAD133E"/>
    <w:rsid w:val="6F7C10CD"/>
    <w:rsid w:val="7027728A"/>
    <w:rsid w:val="72872262"/>
    <w:rsid w:val="746C5BB4"/>
    <w:rsid w:val="74FC0CE6"/>
    <w:rsid w:val="759E7FEF"/>
    <w:rsid w:val="76766876"/>
    <w:rsid w:val="76E71522"/>
    <w:rsid w:val="76E93A99"/>
    <w:rsid w:val="77316C41"/>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698</Words>
  <Characters>716</Characters>
  <Lines>6</Lines>
  <Paragraphs>1</Paragraphs>
  <TotalTime>0</TotalTime>
  <ScaleCrop>false</ScaleCrop>
  <LinksUpToDate>false</LinksUpToDate>
  <CharactersWithSpaces>752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南瓜土豆</cp:lastModifiedBy>
  <cp:lastPrinted>2022-11-15T03:28:00Z</cp:lastPrinted>
  <dcterms:modified xsi:type="dcterms:W3CDTF">2022-12-20T07:20:55Z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D73227DBAC4443EC9376939BE9B23FF8</vt:lpwstr>
  </property>
</Properties>
</file>