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outlineLvl w:val="9"/>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10G单引擎</w:t>
      </w:r>
    </w:p>
    <w:p>
      <w:pPr>
        <w:jc w:val="center"/>
        <w:outlineLvl w:val="9"/>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jc w:val="center"/>
        <w:rPr>
          <w:rFonts w:hint="default" w:ascii="微软雅黑" w:hAnsi="微软雅黑" w:eastAsia="微软雅黑"/>
          <w:b/>
          <w:sz w:val="52"/>
          <w:szCs w:val="52"/>
          <w:lang w:val="en-US" w:eastAsia="zh-CN"/>
        </w:rPr>
      </w:pPr>
      <w:r>
        <w:rPr>
          <w:rFonts w:hint="eastAsia" w:ascii="微软雅黑" w:hAnsi="微软雅黑" w:eastAsia="微软雅黑" w:cs="思源黑体 CN Heavy"/>
          <w:b/>
          <w:sz w:val="52"/>
          <w:szCs w:val="52"/>
        </w:rPr>
        <w:t>可视化系统管理中心</w:t>
      </w:r>
    </w:p>
    <w:p>
      <w:pPr>
        <w:spacing w:line="360" w:lineRule="auto"/>
        <w:ind w:firstLine="3960" w:firstLineChars="1100"/>
        <w:jc w:val="both"/>
        <w:rPr>
          <w:rFonts w:hint="eastAsia"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DN-SERVER</w:t>
      </w:r>
    </w:p>
    <w:p>
      <w:pPr>
        <w:spacing w:line="360" w:lineRule="auto"/>
        <w:ind w:firstLine="3240" w:firstLineChars="900"/>
        <w:jc w:val="both"/>
        <w:rPr>
          <w:rFonts w:hint="default" w:ascii="微软雅黑" w:hAnsi="微软雅黑" w:eastAsia="微软雅黑"/>
          <w:b w:val="0"/>
          <w:bCs/>
          <w:sz w:val="36"/>
          <w:szCs w:val="36"/>
          <w:highlight w:val="none"/>
          <w:lang w:val="en-US" w:eastAsia="zh-CN"/>
        </w:rPr>
      </w:pP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w:t>
      </w:r>
      <w:r>
        <w:rPr>
          <w:rFonts w:hint="eastAsia" w:ascii="微软雅黑" w:hAnsi="微软雅黑" w:eastAsia="微软雅黑" w:cs="微软雅黑"/>
          <w:sz w:val="24"/>
          <w:szCs w:val="24"/>
          <w:highlight w:val="none"/>
        </w:rPr>
        <w:t>公司</w:t>
      </w:r>
      <w:r>
        <w:rPr>
          <w:rFonts w:hint="eastAsia" w:ascii="微软雅黑" w:hAnsi="微软雅黑" w:eastAsia="微软雅黑" w:cs="微软雅黑"/>
          <w:sz w:val="24"/>
          <w:szCs w:val="24"/>
          <w:highlight w:val="none"/>
          <w:lang w:val="en-US" w:eastAsia="zh-CN"/>
        </w:rPr>
        <w:t>10G</w:t>
      </w:r>
      <w:bookmarkStart w:id="7" w:name="_GoBack"/>
      <w:bookmarkEnd w:id="7"/>
      <w:r>
        <w:rPr>
          <w:rFonts w:hint="eastAsia" w:ascii="微软雅黑" w:hAnsi="微软雅黑" w:eastAsia="微软雅黑" w:cs="微软雅黑"/>
          <w:sz w:val="24"/>
          <w:szCs w:val="24"/>
          <w:highlight w:val="none"/>
          <w:lang w:val="en-US" w:eastAsia="zh-CN"/>
        </w:rPr>
        <w:t>单引擎系列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5"/>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r>
        <w:br w:type="page"/>
      </w:r>
    </w:p>
    <w:sdt>
      <w:sdtPr>
        <w:rPr>
          <w:rFonts w:hint="eastAsia" w:ascii="微软雅黑" w:hAnsi="微软雅黑" w:eastAsia="微软雅黑" w:cs="微软雅黑"/>
          <w:kern w:val="2"/>
          <w:sz w:val="40"/>
          <w:szCs w:val="40"/>
          <w:lang w:val="en-US" w:eastAsia="zh-CN" w:bidi="ar-SA"/>
        </w:rPr>
        <w:id w:val="147472213"/>
        <w15:color w:val="DBDBDB"/>
        <w:docPartObj>
          <w:docPartGallery w:val="Table of Contents"/>
          <w:docPartUnique/>
        </w:docPartObj>
      </w:sdtPr>
      <w:sdtEndPr>
        <w:rPr>
          <w:rFonts w:hint="eastAsia" w:ascii="宋体" w:hAnsi="Times New Roman" w:eastAsia="宋体" w:cs="宋体"/>
          <w:color w:val="000000"/>
          <w:kern w:val="2"/>
          <w:sz w:val="24"/>
          <w:szCs w:val="24"/>
          <w:lang w:val="en-US" w:eastAsia="zh-CN" w:bidi="ar-SA"/>
        </w:rPr>
      </w:sdtEndPr>
      <w:sdtContent>
        <w:p>
          <w:pPr>
            <w:jc w:val="center"/>
            <w:rPr>
              <w:rFonts w:hint="eastAsia" w:ascii="微软雅黑" w:hAnsi="微软雅黑" w:eastAsia="微软雅黑" w:cs="微软雅黑"/>
              <w:sz w:val="40"/>
              <w:szCs w:val="40"/>
              <w:lang w:val="en-US"/>
            </w:rPr>
          </w:pPr>
          <w:r>
            <w:rPr>
              <w:rFonts w:hint="eastAsia" w:ascii="微软雅黑" w:hAnsi="微软雅黑" w:eastAsia="微软雅黑" w:cs="微软雅黑"/>
              <w:kern w:val="2"/>
              <w:sz w:val="40"/>
              <w:szCs w:val="40"/>
              <w:lang w:val="en-US" w:eastAsia="zh-CN" w:bidi="ar-SA"/>
            </w:rPr>
            <w:t>目录</w:t>
          </w:r>
        </w:p>
        <w:p>
          <w:pPr>
            <w:pStyle w:val="14"/>
            <w:keepNext w:val="0"/>
            <w:keepLines w:val="0"/>
            <w:pageBreakBefore w:val="0"/>
            <w:widowControl w:val="0"/>
            <w:tabs>
              <w:tab w:val="right" w:leader="dot" w:pos="9922"/>
            </w:tabs>
            <w:kinsoku/>
            <w:wordWrap/>
            <w:overflowPunct/>
            <w:topLinePunct w:val="0"/>
            <w:autoSpaceDE/>
            <w:autoSpaceDN/>
            <w:bidi w:val="0"/>
            <w:adjustRightInd/>
            <w:snapToGrid/>
            <w:spacing w:line="360" w:lineRule="auto"/>
            <w:ind w:left="0" w:leftChars="0" w:firstLine="0" w:firstLineChars="0"/>
            <w:textAlignment w:val="auto"/>
            <w:rPr>
              <w:rFonts w:hint="eastAsia" w:ascii="微软雅黑" w:hAnsi="微软雅黑" w:eastAsia="微软雅黑" w:cs="微软雅黑"/>
              <w:sz w:val="24"/>
              <w:szCs w:val="24"/>
            </w:rPr>
          </w:pPr>
          <w:r>
            <w:fldChar w:fldCharType="begin"/>
          </w:r>
          <w:r>
            <w:instrText xml:space="preserve">TOC \o "1-3" \h \u </w:instrText>
          </w:r>
          <w:r>
            <w:fldChar w:fldCharType="separate"/>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_Toc19345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bCs/>
              <w:kern w:val="2"/>
              <w:sz w:val="24"/>
              <w:szCs w:val="24"/>
              <w:lang w:val="en-US" w:eastAsia="zh-CN" w:bidi="ar-SA"/>
            </w:rPr>
            <w:t>一、前言</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_Toc19345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6</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4"/>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_Toc18570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bCs/>
              <w:kern w:val="2"/>
              <w:sz w:val="24"/>
              <w:szCs w:val="24"/>
              <w:lang w:val="en-US" w:eastAsia="zh-CN" w:bidi="ar-SA"/>
            </w:rPr>
            <w:t>1.1产品特点</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_Toc18570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6</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3"/>
            <w:keepNext w:val="0"/>
            <w:keepLines w:val="0"/>
            <w:pageBreakBefore w:val="0"/>
            <w:widowControl w:val="0"/>
            <w:tabs>
              <w:tab w:val="right" w:leader="dot" w:pos="9922"/>
            </w:tabs>
            <w:kinsoku/>
            <w:wordWrap/>
            <w:overflowPunct/>
            <w:topLinePunct w:val="0"/>
            <w:autoSpaceDE/>
            <w:autoSpaceDN/>
            <w:bidi w:val="0"/>
            <w:adjustRightInd/>
            <w:snapToGrid/>
            <w:spacing w:line="360" w:lineRule="auto"/>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_Toc11141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bCs/>
              <w:kern w:val="2"/>
              <w:sz w:val="24"/>
              <w:szCs w:val="24"/>
              <w:lang w:val="en-US" w:eastAsia="zh-CN" w:bidi="ar-SA"/>
            </w:rPr>
            <w:t>二、包装内容</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_Toc11141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7</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4"/>
            <w:keepNext w:val="0"/>
            <w:keepLines w:val="0"/>
            <w:pageBreakBefore w:val="0"/>
            <w:widowControl w:val="0"/>
            <w:tabs>
              <w:tab w:val="right" w:leader="dot" w:pos="9922"/>
            </w:tabs>
            <w:kinsoku/>
            <w:wordWrap/>
            <w:overflowPunct/>
            <w:topLinePunct w:val="0"/>
            <w:autoSpaceDE/>
            <w:autoSpaceDN/>
            <w:bidi w:val="0"/>
            <w:adjustRightInd/>
            <w:snapToGrid/>
            <w:spacing w:line="360" w:lineRule="auto"/>
            <w:ind w:left="0" w:leftChars="0" w:firstLine="0" w:firstLineChars="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_Toc32721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bCs/>
              <w:kern w:val="2"/>
              <w:sz w:val="24"/>
              <w:szCs w:val="24"/>
              <w:lang w:val="en-US" w:eastAsia="zh-CN" w:bidi="ar-SA"/>
            </w:rPr>
            <w:t>三、前后面板介绍</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_Toc32721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7</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14"/>
            <w:keepNext w:val="0"/>
            <w:keepLines w:val="0"/>
            <w:pageBreakBefore w:val="0"/>
            <w:widowControl w:val="0"/>
            <w:tabs>
              <w:tab w:val="right" w:leader="dot" w:pos="9922"/>
            </w:tabs>
            <w:kinsoku/>
            <w:wordWrap/>
            <w:overflowPunct/>
            <w:topLinePunct w:val="0"/>
            <w:autoSpaceDE/>
            <w:autoSpaceDN/>
            <w:bidi w:val="0"/>
            <w:adjustRightInd/>
            <w:snapToGrid/>
            <w:spacing w:line="360" w:lineRule="auto"/>
            <w:ind w:left="0" w:leftChars="0" w:firstLine="0" w:firstLineChars="0"/>
            <w:textAlignment w:val="auto"/>
          </w:pP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HYPERLINK \l _Toc10850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bCs/>
              <w:sz w:val="24"/>
              <w:szCs w:val="24"/>
            </w:rPr>
            <w:t>四、产品规格</w:t>
          </w:r>
          <w:r>
            <w:rPr>
              <w:rFonts w:hint="eastAsia" w:ascii="微软雅黑" w:hAnsi="微软雅黑" w:eastAsia="微软雅黑" w:cs="微软雅黑"/>
              <w:sz w:val="24"/>
              <w:szCs w:val="24"/>
            </w:rPr>
            <w:tab/>
          </w:r>
          <w:r>
            <w:rPr>
              <w:rFonts w:hint="eastAsia" w:ascii="微软雅黑" w:hAnsi="微软雅黑" w:eastAsia="微软雅黑" w:cs="微软雅黑"/>
              <w:sz w:val="24"/>
              <w:szCs w:val="24"/>
            </w:rPr>
            <w:fldChar w:fldCharType="begin"/>
          </w:r>
          <w:r>
            <w:rPr>
              <w:rFonts w:hint="eastAsia" w:ascii="微软雅黑" w:hAnsi="微软雅黑" w:eastAsia="微软雅黑" w:cs="微软雅黑"/>
              <w:sz w:val="24"/>
              <w:szCs w:val="24"/>
            </w:rPr>
            <w:instrText xml:space="preserve"> PAGEREF _Toc10850 \h </w:instrText>
          </w:r>
          <w:r>
            <w:rPr>
              <w:rFonts w:hint="eastAsia" w:ascii="微软雅黑" w:hAnsi="微软雅黑" w:eastAsia="微软雅黑" w:cs="微软雅黑"/>
              <w:sz w:val="24"/>
              <w:szCs w:val="24"/>
            </w:rPr>
            <w:fldChar w:fldCharType="separate"/>
          </w:r>
          <w:r>
            <w:rPr>
              <w:rFonts w:hint="eastAsia" w:ascii="微软雅黑" w:hAnsi="微软雅黑" w:eastAsia="微软雅黑" w:cs="微软雅黑"/>
              <w:sz w:val="24"/>
              <w:szCs w:val="24"/>
            </w:rPr>
            <w:t>8</w:t>
          </w:r>
          <w:r>
            <w:rPr>
              <w:rFonts w:hint="eastAsia" w:ascii="微软雅黑" w:hAnsi="微软雅黑" w:eastAsia="微软雅黑" w:cs="微软雅黑"/>
              <w:sz w:val="24"/>
              <w:szCs w:val="24"/>
            </w:rPr>
            <w:fldChar w:fldCharType="end"/>
          </w:r>
          <w:r>
            <w:rPr>
              <w:rFonts w:hint="eastAsia" w:ascii="微软雅黑" w:hAnsi="微软雅黑" w:eastAsia="微软雅黑" w:cs="微软雅黑"/>
              <w:sz w:val="24"/>
              <w:szCs w:val="24"/>
            </w:rPr>
            <w:fldChar w:fldCharType="end"/>
          </w:r>
        </w:p>
        <w:p>
          <w:pPr>
            <w:pStyle w:val="2"/>
          </w:pPr>
          <w:r>
            <w:fldChar w:fldCharType="end"/>
          </w:r>
        </w:p>
      </w:sdtContent>
    </w:sdt>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line="260" w:lineRule="atLeast"/>
        <w:jc w:val="left"/>
        <w:outlineLvl w:val="1"/>
        <w:rPr>
          <w:rFonts w:hint="eastAsia" w:ascii="微软雅黑" w:hAnsi="微软雅黑" w:eastAsia="微软雅黑" w:cs="微软雅黑"/>
          <w:b/>
          <w:bCs/>
          <w:kern w:val="2"/>
          <w:sz w:val="36"/>
          <w:szCs w:val="36"/>
          <w:lang w:val="en-US" w:eastAsia="zh-CN" w:bidi="ar-SA"/>
        </w:rPr>
      </w:pPr>
      <w:bookmarkStart w:id="1" w:name="_Toc19345"/>
      <w:bookmarkStart w:id="2" w:name="_Toc32462"/>
      <w:r>
        <w:rPr>
          <w:rFonts w:hint="eastAsia" w:ascii="微软雅黑" w:hAnsi="微软雅黑" w:eastAsia="微软雅黑" w:cs="微软雅黑"/>
          <w:b/>
          <w:bCs/>
          <w:kern w:val="2"/>
          <w:sz w:val="36"/>
          <w:szCs w:val="36"/>
          <w:lang w:val="en-US" w:eastAsia="zh-CN" w:bidi="ar-SA"/>
        </w:rPr>
        <w:t>一、前言</w:t>
      </w:r>
      <w:bookmarkEnd w:id="1"/>
      <w:bookmarkEnd w:id="2"/>
    </w:p>
    <w:p>
      <w:pPr>
        <w:pStyle w:val="35"/>
        <w:keepNext w:val="0"/>
        <w:keepLines w:val="0"/>
        <w:pageBreakBefore w:val="0"/>
        <w:widowControl/>
        <w:kinsoku/>
        <w:wordWrap/>
        <w:overflowPunct/>
        <w:topLinePunct w:val="0"/>
        <w:autoSpaceDE/>
        <w:autoSpaceDN/>
        <w:bidi w:val="0"/>
        <w:adjustRightInd w:val="0"/>
        <w:snapToGrid w:val="0"/>
        <w:spacing w:line="360" w:lineRule="auto"/>
        <w:ind w:firstLine="480" w:firstLineChars="200"/>
        <w:jc w:val="both"/>
        <w:textAlignment w:val="auto"/>
        <w:rPr>
          <w:rFonts w:ascii="微软雅黑" w:hAnsi="微软雅黑"/>
        </w:rPr>
      </w:pPr>
      <w:r>
        <w:rPr>
          <w:rFonts w:hint="eastAsia" w:ascii="微软雅黑" w:hAnsi="微软雅黑"/>
          <w:sz w:val="24"/>
          <w:szCs w:val="24"/>
          <w:lang w:val="en-US"/>
        </w:rPr>
        <w:t>DN-SERVER利用10GbE以太网技术实时对视频、音频、以太网和其他控制信号进行矩阵切换、延伸以及分配，分辨率达4K/60p4:4:4HDR(超高清）。内部包含H.265&amp;H.264两种高清音视频编码功能，是一款专业的高清音视频编码产品。该编码器同时支持H.265/H.264两种高清数字视频压缩技术，具备稳定可靠、高清晰度、低码率、低延伸等特点。高清的HDMI视频信号，进行编码处理，经过DSP芯片压缩处理，输出标准的TS网络流，可根据不同需要设置每一路的输出码流分辨率，该设备具有高集成，H.265 HDMI(定制B版本能达到60帧H264或者H265的高速节目录制）高清编码器可广泛应用于各种数字电视播出系统中。</w:t>
      </w:r>
    </w:p>
    <w:p>
      <w:pPr>
        <w:pStyle w:val="4"/>
        <w:keepNext/>
        <w:keepLines/>
        <w:pageBreakBefore w:val="0"/>
        <w:widowControl w:val="0"/>
        <w:numPr>
          <w:ilvl w:val="0"/>
          <w:numId w:val="0"/>
        </w:numPr>
        <w:kinsoku/>
        <w:wordWrap/>
        <w:overflowPunct/>
        <w:topLinePunct w:val="0"/>
        <w:autoSpaceDE/>
        <w:autoSpaceDN/>
        <w:bidi w:val="0"/>
        <w:adjustRightInd/>
        <w:snapToGrid/>
        <w:spacing w:before="313" w:beforeLines="100" w:after="0" w:line="360" w:lineRule="auto"/>
        <w:ind w:leftChars="0"/>
        <w:textAlignment w:val="auto"/>
        <w:outlineLvl w:val="2"/>
        <w:rPr>
          <w:rFonts w:hint="eastAsia" w:ascii="微软雅黑" w:hAnsi="微软雅黑" w:eastAsia="微软雅黑" w:cs="微软雅黑"/>
          <w:b/>
          <w:bCs/>
          <w:kern w:val="2"/>
          <w:sz w:val="30"/>
          <w:szCs w:val="30"/>
          <w:lang w:val="en-US" w:eastAsia="zh-CN" w:bidi="ar-SA"/>
        </w:rPr>
      </w:pPr>
      <w:bookmarkStart w:id="3" w:name="_Toc18570"/>
      <w:r>
        <w:rPr>
          <w:rFonts w:hint="eastAsia" w:ascii="微软雅黑" w:hAnsi="微软雅黑" w:eastAsia="微软雅黑" w:cs="微软雅黑"/>
          <w:b/>
          <w:bCs/>
          <w:kern w:val="2"/>
          <w:sz w:val="30"/>
          <w:szCs w:val="30"/>
          <w:lang w:val="en-US" w:eastAsia="zh-CN" w:bidi="ar-SA"/>
        </w:rPr>
        <w:t>1.1产品特点</w:t>
      </w:r>
      <w:bookmarkEnd w:id="3"/>
    </w:p>
    <w:p>
      <w:pPr>
        <w:pStyle w:val="9"/>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theme="minorBidi"/>
          <w:sz w:val="24"/>
          <w:szCs w:val="24"/>
          <w:lang w:val="en-US" w:eastAsia="zh-CN" w:bidi="ar-SA"/>
        </w:rPr>
        <w:t>音视频信号支持以太网口或光纤口进行传输，光口采用SFP+接口；</w:t>
      </w:r>
    </w:p>
    <w:p>
      <w:pPr>
        <w:pStyle w:val="9"/>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使用现成的10GbE网络交换机路由AV信号；</w:t>
      </w:r>
    </w:p>
    <w:p>
      <w:pPr>
        <w:pStyle w:val="9"/>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快速无缝的HDMI信号转换，分辨率高达4K/60p(8BIT 4:4:4)以4K/60p (10BIT 4:2:2)及HDR；</w:t>
      </w:r>
    </w:p>
    <w:p>
      <w:pPr>
        <w:pStyle w:val="9"/>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远优于现有的基于IP网络的视频产品：无画面延迟、无压缩、无伪影；</w:t>
      </w:r>
    </w:p>
    <w:p>
      <w:pPr>
        <w:pStyle w:val="9"/>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支持HDMI2.0a、HDCP2.2;</w:t>
      </w:r>
    </w:p>
    <w:p>
      <w:pPr>
        <w:pStyle w:val="9"/>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具有视频缩放功能，广播级的缩放质量支持VGA到4K/60的多种分辨率；</w:t>
      </w:r>
    </w:p>
    <w:p>
      <w:pPr>
        <w:pStyle w:val="9"/>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使用单独CAT7线缆，最大范围可达100米（328英尺）； 8、使用10GbE光缆，最大范围可达30公里；</w:t>
      </w:r>
    </w:p>
    <w:p>
      <w:pPr>
        <w:pStyle w:val="9"/>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接口机支持点对点，点对多，多对点，多对多等节点应用； </w:t>
      </w:r>
    </w:p>
    <w:p>
      <w:pPr>
        <w:pStyle w:val="9"/>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4K/60HZ 数据带宽大约6—8Gbps，1080P/60大约1.48Gbps；</w:t>
      </w:r>
    </w:p>
    <w:p>
      <w:pPr>
        <w:pStyle w:val="9"/>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编码支持分辨率：包含1920*1080/60HZ(1080P) - 最小-800*600 分辨率和帧速；</w:t>
      </w:r>
    </w:p>
    <w:p>
      <w:pPr>
        <w:pStyle w:val="9"/>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支持H.265/H.264视频压缩格式，三码流；</w:t>
      </w:r>
    </w:p>
    <w:p>
      <w:pPr>
        <w:pStyle w:val="9"/>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支持TS/HLS/RTSP/ONVIF；</w:t>
      </w:r>
    </w:p>
    <w:p>
      <w:pPr>
        <w:pStyle w:val="9"/>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音频编码支持PCM无损高音质编码； </w:t>
      </w:r>
    </w:p>
    <w:p>
      <w:pPr>
        <w:pStyle w:val="9"/>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支持ONVIF协议，支持蓝光高清；</w:t>
      </w:r>
    </w:p>
    <w:p>
      <w:pPr>
        <w:pStyle w:val="9"/>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支持</w:t>
      </w:r>
      <w:r>
        <w:rPr>
          <w:rFonts w:hint="eastAsia" w:ascii="微软雅黑" w:hAnsi="微软雅黑" w:eastAsia="微软雅黑" w:cs="微软雅黑"/>
          <w:sz w:val="24"/>
          <w:szCs w:val="24"/>
          <w:lang w:val="en-US"/>
        </w:rPr>
        <w:t>1</w:t>
      </w:r>
      <w:r>
        <w:rPr>
          <w:rFonts w:hint="eastAsia" w:ascii="微软雅黑" w:hAnsi="微软雅黑" w:eastAsia="微软雅黑" w:cs="微软雅黑"/>
          <w:sz w:val="24"/>
          <w:szCs w:val="24"/>
        </w:rPr>
        <w:t>路主码流2路子码流；</w:t>
      </w:r>
    </w:p>
    <w:p>
      <w:pPr>
        <w:pStyle w:val="9"/>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支持多人同时接入，音频可选；</w:t>
      </w:r>
    </w:p>
    <w:p>
      <w:pPr>
        <w:pStyle w:val="9"/>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ascii="微软雅黑" w:hAnsi="微软雅黑" w:eastAsia="微软雅黑"/>
          <w:sz w:val="18"/>
          <w:szCs w:val="18"/>
        </w:rPr>
      </w:pPr>
      <w:r>
        <w:rPr>
          <w:rFonts w:hint="eastAsia" w:ascii="微软雅黑" w:hAnsi="微软雅黑" w:eastAsia="微软雅黑" w:cs="微软雅黑"/>
          <w:sz w:val="24"/>
          <w:szCs w:val="24"/>
        </w:rPr>
        <w:t>480×235×44mm1U标准机箱，更节省你的宝贵的机柜空间。</w:t>
      </w:r>
    </w:p>
    <w:p>
      <w:pPr>
        <w:pStyle w:val="3"/>
        <w:keepNext/>
        <w:keepLines/>
        <w:pageBreakBefore w:val="0"/>
        <w:widowControl w:val="0"/>
        <w:numPr>
          <w:ilvl w:val="0"/>
          <w:numId w:val="2"/>
        </w:numPr>
        <w:kinsoku/>
        <w:wordWrap/>
        <w:overflowPunct/>
        <w:topLinePunct w:val="0"/>
        <w:autoSpaceDE/>
        <w:autoSpaceDN/>
        <w:bidi w:val="0"/>
        <w:adjustRightInd/>
        <w:snapToGrid/>
        <w:spacing w:before="313" w:beforeLines="100" w:after="0" w:line="360" w:lineRule="auto"/>
        <w:ind w:leftChars="0"/>
        <w:textAlignment w:val="auto"/>
        <w:outlineLvl w:val="1"/>
        <w:rPr>
          <w:rFonts w:hint="eastAsia" w:ascii="微软雅黑" w:hAnsi="微软雅黑" w:eastAsia="微软雅黑" w:cs="微软雅黑"/>
          <w:b/>
          <w:bCs/>
          <w:kern w:val="2"/>
          <w:sz w:val="36"/>
          <w:szCs w:val="36"/>
          <w:lang w:val="en-US" w:eastAsia="zh-CN" w:bidi="ar-SA"/>
        </w:rPr>
      </w:pPr>
      <w:bookmarkStart w:id="4" w:name="_Toc11141"/>
      <w:r>
        <w:rPr>
          <w:rFonts w:hint="eastAsia" w:ascii="微软雅黑" w:hAnsi="微软雅黑" w:eastAsia="微软雅黑" w:cs="微软雅黑"/>
          <w:b/>
          <w:bCs/>
          <w:kern w:val="2"/>
          <w:sz w:val="36"/>
          <w:szCs w:val="36"/>
          <w:lang w:val="en-US" w:eastAsia="zh-CN" w:bidi="ar-SA"/>
        </w:rPr>
        <w:t>包装内容</w:t>
      </w:r>
      <w:bookmarkEnd w:id="4"/>
    </w:p>
    <w:p>
      <w:pPr>
        <w:pStyle w:val="9"/>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一台服务器。</w:t>
      </w:r>
    </w:p>
    <w:p>
      <w:pPr>
        <w:pStyle w:val="9"/>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一条电源线。</w:t>
      </w:r>
    </w:p>
    <w:p>
      <w:pPr>
        <w:pStyle w:val="9"/>
        <w:keepNext w:val="0"/>
        <w:keepLines w:val="0"/>
        <w:pageBreakBefore w:val="0"/>
        <w:widowControl w:val="0"/>
        <w:numPr>
          <w:ilvl w:val="0"/>
          <w:numId w:val="1"/>
        </w:numPr>
        <w:kinsoku/>
        <w:wordWrap/>
        <w:overflowPunct/>
        <w:topLinePunct w:val="0"/>
        <w:autoSpaceDE/>
        <w:autoSpaceDN/>
        <w:bidi w:val="0"/>
        <w:adjustRightInd/>
        <w:snapToGrid/>
        <w:spacing w:before="0" w:line="360" w:lineRule="auto"/>
        <w:ind w:left="420" w:leftChars="0" w:right="113" w:hanging="420" w:firstLineChars="0"/>
        <w:jc w:val="left"/>
        <w:textAlignment w:val="auto"/>
        <w:rPr>
          <w:rFonts w:hint="eastAsia" w:ascii="微软雅黑" w:hAnsi="微软雅黑" w:eastAsia="微软雅黑" w:cstheme="minorBidi"/>
          <w:sz w:val="24"/>
          <w:szCs w:val="24"/>
          <w:lang w:val="en-US" w:eastAsia="zh-CN" w:bidi="ar-SA"/>
        </w:rPr>
      </w:pPr>
      <w:r>
        <w:rPr>
          <w:rFonts w:hint="eastAsia" w:ascii="微软雅黑" w:hAnsi="微软雅黑" w:eastAsia="微软雅黑" w:cstheme="minorBidi"/>
          <w:sz w:val="24"/>
          <w:szCs w:val="24"/>
          <w:lang w:val="en-US" w:eastAsia="zh-CN" w:bidi="ar-SA"/>
        </w:rPr>
        <w:t>操作手册、合格证、保修卡各一份</w:t>
      </w:r>
    </w:p>
    <w:p>
      <w:pPr>
        <w:keepNext w:val="0"/>
        <w:keepLines w:val="0"/>
        <w:pageBreakBefore w:val="0"/>
        <w:widowControl w:val="0"/>
        <w:kinsoku/>
        <w:wordWrap/>
        <w:overflowPunct/>
        <w:topLinePunct w:val="0"/>
        <w:autoSpaceDE/>
        <w:autoSpaceDN/>
        <w:bidi w:val="0"/>
        <w:adjustRightInd/>
        <w:snapToGrid/>
        <w:spacing w:before="313" w:beforeLines="100"/>
        <w:textAlignment w:val="auto"/>
        <w:outlineLvl w:val="1"/>
        <w:rPr>
          <w:rFonts w:hint="eastAsia" w:ascii="微软雅黑" w:hAnsi="微软雅黑" w:eastAsia="微软雅黑" w:cs="微软雅黑"/>
          <w:b/>
          <w:bCs/>
          <w:kern w:val="2"/>
          <w:sz w:val="36"/>
          <w:szCs w:val="36"/>
          <w:lang w:val="en-US" w:eastAsia="zh-CN" w:bidi="ar-SA"/>
        </w:rPr>
      </w:pPr>
      <w:bookmarkStart w:id="5" w:name="_Toc32721"/>
      <w:r>
        <w:rPr>
          <w:rFonts w:hint="eastAsia" w:ascii="微软雅黑" w:hAnsi="微软雅黑" w:eastAsia="微软雅黑" w:cs="微软雅黑"/>
          <w:b/>
          <w:bCs/>
          <w:kern w:val="2"/>
          <w:sz w:val="36"/>
          <w:szCs w:val="36"/>
          <w:lang w:val="en-US" w:eastAsia="zh-CN" w:bidi="ar-SA"/>
        </w:rPr>
        <w:t>三、前后面板介绍</w:t>
      </w:r>
      <w:bookmarkEnd w:id="5"/>
    </w:p>
    <w:p>
      <w:pPr>
        <w:pStyle w:val="2"/>
        <w:jc w:val="center"/>
        <w:rPr>
          <w:rFonts w:ascii="微软雅黑" w:hAnsi="微软雅黑" w:eastAsia="微软雅黑" w:cs="微软雅黑"/>
          <w:b/>
          <w:bCs/>
          <w:sz w:val="36"/>
          <w:szCs w:val="36"/>
        </w:rPr>
      </w:pPr>
      <w:r>
        <w:rPr>
          <w:rFonts w:ascii="微软雅黑" w:hAnsi="微软雅黑" w:eastAsia="微软雅黑" w:cs="微软雅黑"/>
          <w:b/>
          <w:bCs/>
          <w:sz w:val="36"/>
          <w:szCs w:val="36"/>
        </w:rPr>
        <w:drawing>
          <wp:inline distT="0" distB="0" distL="0" distR="0">
            <wp:extent cx="5514340" cy="1064895"/>
            <wp:effectExtent l="0" t="0" r="635" b="1905"/>
            <wp:docPr id="1" name="图片 7" descr="回显服务器前后面板.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descr="回显服务器前后面板.png"/>
                    <pic:cNvPicPr>
                      <a:picLocks noChangeAspect="1"/>
                    </pic:cNvPicPr>
                  </pic:nvPicPr>
                  <pic:blipFill>
                    <a:blip r:embed="rId6" cstate="print"/>
                    <a:stretch>
                      <a:fillRect/>
                    </a:stretch>
                  </pic:blipFill>
                  <pic:spPr>
                    <a:xfrm>
                      <a:off x="0" y="0"/>
                      <a:ext cx="5520098" cy="1066522"/>
                    </a:xfrm>
                    <a:prstGeom prst="rect">
                      <a:avLst/>
                    </a:prstGeom>
                  </pic:spPr>
                </pic:pic>
              </a:graphicData>
            </a:graphic>
          </wp:inline>
        </w:drawing>
      </w:r>
    </w:p>
    <w:p>
      <w:pPr>
        <w:numPr>
          <w:ilvl w:val="0"/>
          <w:numId w:val="1"/>
        </w:numPr>
        <w:spacing w:line="500" w:lineRule="exact"/>
        <w:ind w:left="420" w:leftChars="0" w:hanging="420" w:firstLineChars="0"/>
        <w:rPr>
          <w:rFonts w:hint="eastAsia" w:ascii="微软雅黑" w:hAnsi="微软雅黑" w:eastAsia="微软雅黑" w:cstheme="minorBidi"/>
          <w:kern w:val="2"/>
          <w:sz w:val="24"/>
          <w:szCs w:val="24"/>
          <w:lang w:val="en-US" w:eastAsia="zh-CN" w:bidi="ar-SA"/>
        </w:rPr>
      </w:pPr>
      <w:r>
        <w:rPr>
          <w:rFonts w:hint="eastAsia" w:ascii="微软雅黑" w:hAnsi="微软雅黑" w:eastAsia="微软雅黑" w:cstheme="minorBidi"/>
          <w:kern w:val="2"/>
          <w:sz w:val="24"/>
          <w:szCs w:val="24"/>
          <w:lang w:val="en-US" w:eastAsia="zh-CN" w:bidi="ar-SA"/>
        </w:rPr>
        <w:t>POWER：电源LED状态指示灯。</w:t>
      </w:r>
    </w:p>
    <w:p>
      <w:pPr>
        <w:numPr>
          <w:ilvl w:val="0"/>
          <w:numId w:val="1"/>
        </w:numPr>
        <w:spacing w:line="500" w:lineRule="exact"/>
        <w:ind w:left="420" w:leftChars="0" w:hanging="420" w:firstLineChars="0"/>
        <w:rPr>
          <w:rFonts w:hint="eastAsia" w:ascii="微软雅黑" w:hAnsi="微软雅黑" w:eastAsia="微软雅黑" w:cstheme="minorBidi"/>
          <w:kern w:val="2"/>
          <w:sz w:val="24"/>
          <w:szCs w:val="24"/>
          <w:lang w:val="en-US" w:eastAsia="zh-CN" w:bidi="ar-SA"/>
        </w:rPr>
      </w:pPr>
      <w:r>
        <w:rPr>
          <w:rFonts w:hint="eastAsia" w:ascii="微软雅黑" w:hAnsi="微软雅黑" w:eastAsia="微软雅黑" w:cstheme="minorBidi"/>
          <w:kern w:val="2"/>
          <w:sz w:val="24"/>
          <w:szCs w:val="24"/>
          <w:lang w:val="en-US" w:eastAsia="zh-CN" w:bidi="ar-SA"/>
        </w:rPr>
        <w:t>STATUS：10G FIBER（10 LAN)正常连接LED状态指示灯。</w:t>
      </w:r>
    </w:p>
    <w:p>
      <w:pPr>
        <w:numPr>
          <w:ilvl w:val="0"/>
          <w:numId w:val="1"/>
        </w:numPr>
        <w:spacing w:before="81" w:line="500" w:lineRule="exact"/>
        <w:ind w:left="420" w:leftChars="0" w:hanging="420" w:firstLineChars="0"/>
        <w:rPr>
          <w:rFonts w:hint="eastAsia" w:ascii="微软雅黑" w:hAnsi="微软雅黑" w:eastAsia="微软雅黑" w:cstheme="minorBidi"/>
          <w:kern w:val="2"/>
          <w:sz w:val="24"/>
          <w:szCs w:val="24"/>
          <w:lang w:val="en-US" w:eastAsia="zh-CN" w:bidi="ar-SA"/>
        </w:rPr>
      </w:pPr>
      <w:r>
        <w:rPr>
          <w:rFonts w:hint="eastAsia" w:ascii="微软雅黑" w:hAnsi="微软雅黑" w:eastAsia="微软雅黑" w:cstheme="minorBidi"/>
          <w:kern w:val="2"/>
          <w:sz w:val="24"/>
          <w:szCs w:val="24"/>
          <w:lang w:val="en-US" w:eastAsia="zh-CN" w:bidi="ar-SA"/>
        </w:rPr>
        <w:t>RJ45 out：Ip设置千兆网口。</w:t>
      </w:r>
    </w:p>
    <w:p>
      <w:pPr>
        <w:numPr>
          <w:ilvl w:val="0"/>
          <w:numId w:val="1"/>
        </w:numPr>
        <w:spacing w:before="81" w:line="500" w:lineRule="exact"/>
        <w:ind w:left="420" w:leftChars="0" w:hanging="420" w:firstLineChars="0"/>
        <w:rPr>
          <w:rFonts w:hint="eastAsia" w:ascii="微软雅黑" w:hAnsi="微软雅黑" w:eastAsia="微软雅黑" w:cstheme="minorBidi"/>
          <w:kern w:val="2"/>
          <w:sz w:val="24"/>
          <w:szCs w:val="24"/>
          <w:lang w:val="en-US" w:eastAsia="zh-CN" w:bidi="ar-SA"/>
        </w:rPr>
      </w:pPr>
      <w:r>
        <w:rPr>
          <w:rFonts w:hint="eastAsia" w:ascii="微软雅黑" w:hAnsi="微软雅黑" w:eastAsia="微软雅黑" w:cstheme="minorBidi"/>
          <w:kern w:val="2"/>
          <w:sz w:val="24"/>
          <w:szCs w:val="24"/>
          <w:lang w:val="en-US" w:eastAsia="zh-CN" w:bidi="ar-SA"/>
        </w:rPr>
        <w:t>10G : 光纤模块插入口。</w:t>
      </w:r>
    </w:p>
    <w:p>
      <w:pPr>
        <w:numPr>
          <w:ilvl w:val="0"/>
          <w:numId w:val="1"/>
        </w:numPr>
        <w:spacing w:line="500" w:lineRule="exact"/>
        <w:ind w:left="420" w:leftChars="0" w:hanging="420" w:firstLineChars="0"/>
        <w:rPr>
          <w:rFonts w:hint="eastAsia" w:ascii="微软雅黑" w:hAnsi="微软雅黑" w:eastAsia="微软雅黑" w:cstheme="minorBidi"/>
          <w:kern w:val="2"/>
          <w:sz w:val="24"/>
          <w:szCs w:val="24"/>
          <w:lang w:val="en-US" w:eastAsia="zh-CN" w:bidi="ar-SA"/>
        </w:rPr>
      </w:pPr>
      <w:r>
        <w:rPr>
          <w:rFonts w:hint="eastAsia" w:ascii="微软雅黑" w:hAnsi="微软雅黑" w:eastAsia="微软雅黑" w:cstheme="minorBidi"/>
          <w:kern w:val="2"/>
          <w:sz w:val="24"/>
          <w:szCs w:val="24"/>
          <w:lang w:val="en-US" w:eastAsia="zh-CN" w:bidi="ar-SA"/>
        </w:rPr>
        <w:t>电源接口：AC 100-240V。</w:t>
      </w:r>
    </w:p>
    <w:p>
      <w:pPr>
        <w:keepNext w:val="0"/>
        <w:keepLines w:val="0"/>
        <w:pageBreakBefore w:val="0"/>
        <w:widowControl w:val="0"/>
        <w:kinsoku/>
        <w:wordWrap/>
        <w:overflowPunct/>
        <w:topLinePunct w:val="0"/>
        <w:autoSpaceDE/>
        <w:autoSpaceDN/>
        <w:bidi w:val="0"/>
        <w:adjustRightInd/>
        <w:snapToGrid/>
        <w:spacing w:before="313" w:beforeLines="100" w:line="360" w:lineRule="auto"/>
        <w:jc w:val="left"/>
        <w:textAlignment w:val="auto"/>
        <w:outlineLvl w:val="1"/>
        <w:rPr>
          <w:rFonts w:ascii="微软雅黑" w:hAnsi="微软雅黑" w:eastAsia="微软雅黑" w:cs="微软雅黑"/>
          <w:b/>
          <w:bCs/>
          <w:sz w:val="36"/>
          <w:szCs w:val="36"/>
        </w:rPr>
      </w:pPr>
      <w:bookmarkStart w:id="6" w:name="_Toc10850"/>
      <w:r>
        <w:rPr>
          <w:rFonts w:hint="eastAsia" w:ascii="微软雅黑" w:hAnsi="微软雅黑" w:eastAsia="微软雅黑" w:cs="微软雅黑"/>
          <w:b/>
          <w:bCs/>
          <w:sz w:val="36"/>
          <w:szCs w:val="36"/>
        </w:rPr>
        <w:t>四、产品规格</w:t>
      </w:r>
      <w:bookmarkEnd w:id="6"/>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1"/>
        <w:gridCol w:w="5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7500" w:type="dxa"/>
            <w:gridSpan w:val="2"/>
            <w:tcBorders>
              <w:top w:val="nil"/>
              <w:bottom w:val="nil"/>
              <w:right w:val="nil"/>
            </w:tcBorders>
            <w:shd w:val="clear" w:color="auto" w:fill="BEBEBE" w:themeFill="background1" w:themeFillShade="BF"/>
            <w:vAlign w:val="center"/>
          </w:tcPr>
          <w:p>
            <w:pPr>
              <w:pStyle w:val="34"/>
              <w:ind w:firstLine="120" w:firstLineChars="50"/>
              <w:jc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b/>
                <w:bCs/>
                <w:color w:val="000000"/>
                <w:sz w:val="24"/>
                <w:szCs w:val="24"/>
                <w:lang w:val="en-US" w:eastAsia="zh-CN"/>
              </w:rPr>
              <w:t>视频格式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tcBorders>
              <w:top w:val="nil"/>
            </w:tcBorders>
            <w:vAlign w:val="center"/>
          </w:tcPr>
          <w:p>
            <w:pPr>
              <w:pStyle w:val="34"/>
              <w:spacing w:line="360" w:lineRule="exact"/>
              <w:ind w:firstLine="200" w:firstLineChars="100"/>
              <w:jc w:val="both"/>
              <w:rPr>
                <w:rFonts w:hint="eastAsia" w:asciiTheme="minorEastAsia" w:hAnsiTheme="minorEastAsia" w:eastAsiaTheme="minorEastAsia" w:cstheme="minorEastAsia"/>
                <w:sz w:val="20"/>
                <w:szCs w:val="20"/>
                <w:vertAlign w:val="baseline"/>
              </w:rPr>
            </w:pPr>
            <w:r>
              <w:rPr>
                <w:rFonts w:hint="eastAsia" w:asciiTheme="minorEastAsia" w:hAnsiTheme="minorEastAsia" w:eastAsiaTheme="minorEastAsia" w:cstheme="minorEastAsia"/>
                <w:sz w:val="20"/>
                <w:szCs w:val="20"/>
              </w:rPr>
              <w:t>最大像素时钟频率</w:t>
            </w:r>
          </w:p>
        </w:tc>
        <w:tc>
          <w:tcPr>
            <w:tcW w:w="5049" w:type="dxa"/>
            <w:tcBorders>
              <w:top w:val="nil"/>
            </w:tcBorders>
            <w:vAlign w:val="center"/>
          </w:tcPr>
          <w:p>
            <w:pPr>
              <w:pStyle w:val="34"/>
              <w:ind w:firstLine="100" w:firstLineChars="50"/>
              <w:jc w:val="both"/>
              <w:rPr>
                <w:rFonts w:hint="eastAsia" w:asciiTheme="minorEastAsia" w:hAnsiTheme="minorEastAsia" w:eastAsiaTheme="minorEastAsia" w:cstheme="minorEastAsia"/>
                <w:sz w:val="20"/>
                <w:szCs w:val="20"/>
                <w:vertAlign w:val="baseline"/>
              </w:rPr>
            </w:pPr>
            <w:r>
              <w:rPr>
                <w:rFonts w:hint="eastAsia" w:asciiTheme="minorEastAsia" w:hAnsiTheme="minorEastAsia" w:eastAsiaTheme="minorEastAsia" w:cstheme="minorEastAsia"/>
                <w:color w:val="000000"/>
                <w:sz w:val="20"/>
                <w:szCs w:val="20"/>
              </w:rPr>
              <w:t>支持的像素时钟率达596MHZ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vAlign w:val="center"/>
          </w:tcPr>
          <w:p>
            <w:pPr>
              <w:pStyle w:val="34"/>
              <w:spacing w:line="360" w:lineRule="exact"/>
              <w:ind w:firstLine="200" w:firstLineChars="100"/>
              <w:jc w:val="both"/>
              <w:rPr>
                <w:rFonts w:hint="eastAsia" w:asciiTheme="minorEastAsia" w:hAnsiTheme="minorEastAsia" w:eastAsiaTheme="minorEastAsia" w:cstheme="minorEastAsia"/>
                <w:sz w:val="20"/>
                <w:szCs w:val="20"/>
                <w:vertAlign w:val="baseline"/>
              </w:rPr>
            </w:pPr>
            <w:r>
              <w:rPr>
                <w:rFonts w:hint="eastAsia" w:asciiTheme="minorEastAsia" w:hAnsiTheme="minorEastAsia" w:eastAsiaTheme="minorEastAsia" w:cstheme="minorEastAsia"/>
                <w:sz w:val="20"/>
                <w:szCs w:val="20"/>
              </w:rPr>
              <w:t>支持的分辨率</w:t>
            </w:r>
          </w:p>
        </w:tc>
        <w:tc>
          <w:tcPr>
            <w:tcW w:w="5049" w:type="dxa"/>
            <w:vAlign w:val="center"/>
          </w:tcPr>
          <w:p>
            <w:pPr>
              <w:pStyle w:val="34"/>
              <w:ind w:firstLine="100" w:firstLineChars="50"/>
              <w:jc w:val="both"/>
              <w:rPr>
                <w:rFonts w:hint="eastAsia" w:asciiTheme="minorEastAsia" w:hAnsiTheme="minorEastAsia" w:eastAsiaTheme="minorEastAsia" w:cstheme="minorEastAsia"/>
                <w:sz w:val="20"/>
                <w:szCs w:val="20"/>
                <w:vertAlign w:val="baseline"/>
              </w:rPr>
            </w:pPr>
            <w:r>
              <w:rPr>
                <w:rFonts w:hint="eastAsia" w:asciiTheme="minorEastAsia" w:hAnsiTheme="minorEastAsia" w:eastAsiaTheme="minorEastAsia" w:cstheme="minorEastAsia"/>
                <w:color w:val="000000"/>
                <w:sz w:val="20"/>
                <w:szCs w:val="20"/>
              </w:rPr>
              <w:t>最高支持的分辨率达3840x2160/60p(4:4:4)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451" w:type="dxa"/>
            <w:vAlign w:val="center"/>
          </w:tcPr>
          <w:p>
            <w:pPr>
              <w:pStyle w:val="34"/>
              <w:ind w:firstLine="200" w:firstLineChars="100"/>
              <w:jc w:val="both"/>
              <w:rPr>
                <w:rFonts w:hint="eastAsia" w:asciiTheme="minorEastAsia" w:hAnsiTheme="minorEastAsia" w:eastAsiaTheme="minorEastAsia" w:cstheme="minorEastAsia"/>
                <w:sz w:val="20"/>
                <w:szCs w:val="20"/>
                <w:vertAlign w:val="baseline"/>
              </w:rPr>
            </w:pPr>
            <w:r>
              <w:rPr>
                <w:rFonts w:hint="eastAsia" w:asciiTheme="minorEastAsia" w:hAnsiTheme="minorEastAsia" w:eastAsiaTheme="minorEastAsia" w:cstheme="minorEastAsia"/>
                <w:sz w:val="20"/>
                <w:szCs w:val="20"/>
              </w:rPr>
              <w:t>视频信号延迟</w:t>
            </w:r>
          </w:p>
        </w:tc>
        <w:tc>
          <w:tcPr>
            <w:tcW w:w="5049" w:type="dxa"/>
            <w:vAlign w:val="center"/>
          </w:tcPr>
          <w:p>
            <w:pPr>
              <w:spacing w:line="360" w:lineRule="exact"/>
              <w:ind w:firstLine="100" w:firstLineChars="50"/>
              <w:jc w:val="both"/>
              <w:rPr>
                <w:rFonts w:hint="eastAsia" w:asciiTheme="minorEastAsia" w:hAnsiTheme="minorEastAsia" w:eastAsiaTheme="minorEastAsia" w:cstheme="minorEastAsia"/>
                <w:sz w:val="20"/>
                <w:szCs w:val="20"/>
                <w:vertAlign w:val="baseline"/>
              </w:rPr>
            </w:pPr>
            <w:r>
              <w:rPr>
                <w:rFonts w:hint="eastAsia" w:asciiTheme="minorEastAsia" w:hAnsiTheme="minorEastAsia" w:eastAsiaTheme="minorEastAsia" w:cstheme="minorEastAsia"/>
                <w:sz w:val="20"/>
                <w:szCs w:val="20"/>
                <w:vertAlign w:val="baseline"/>
              </w:rPr>
              <w:t>同步锁相模式：40 usec</w:t>
            </w:r>
          </w:p>
          <w:p>
            <w:pPr>
              <w:spacing w:line="360" w:lineRule="exact"/>
              <w:ind w:firstLine="100" w:firstLineChars="50"/>
              <w:jc w:val="both"/>
              <w:rPr>
                <w:rFonts w:hint="eastAsia" w:asciiTheme="minorEastAsia" w:hAnsiTheme="minorEastAsia" w:eastAsiaTheme="minorEastAsia" w:cstheme="minorEastAsia"/>
                <w:sz w:val="20"/>
                <w:szCs w:val="20"/>
                <w:vertAlign w:val="baseline"/>
              </w:rPr>
            </w:pPr>
            <w:r>
              <w:rPr>
                <w:rFonts w:hint="eastAsia" w:asciiTheme="minorEastAsia" w:hAnsiTheme="minorEastAsia" w:eastAsiaTheme="minorEastAsia" w:cstheme="minorEastAsia"/>
                <w:sz w:val="20"/>
                <w:szCs w:val="20"/>
                <w:vertAlign w:val="baseline"/>
              </w:rPr>
              <w:t>快速交换模式：不超过2视频帧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vAlign w:val="center"/>
          </w:tcPr>
          <w:p>
            <w:pPr>
              <w:spacing w:before="35" w:line="360" w:lineRule="exact"/>
              <w:ind w:firstLine="200" w:firstLine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10GbE交换机要求</w:t>
            </w:r>
          </w:p>
          <w:p>
            <w:pPr>
              <w:pStyle w:val="34"/>
              <w:spacing w:line="360" w:lineRule="exact"/>
              <w:ind w:firstLine="200" w:firstLineChars="100"/>
              <w:jc w:val="both"/>
              <w:rPr>
                <w:rFonts w:hint="eastAsia" w:asciiTheme="minorEastAsia" w:hAnsiTheme="minorEastAsia" w:eastAsiaTheme="minorEastAsia" w:cstheme="minorEastAsia"/>
                <w:sz w:val="20"/>
                <w:szCs w:val="20"/>
                <w:vertAlign w:val="baseline"/>
              </w:rPr>
            </w:pPr>
          </w:p>
        </w:tc>
        <w:tc>
          <w:tcPr>
            <w:tcW w:w="5049" w:type="dxa"/>
            <w:vAlign w:val="center"/>
          </w:tcPr>
          <w:p>
            <w:pPr>
              <w:widowControl/>
              <w:spacing w:line="360" w:lineRule="exact"/>
              <w:ind w:firstLine="100" w:firstLineChars="50"/>
              <w:jc w:val="both"/>
              <w:rPr>
                <w:rFonts w:hint="eastAsia" w:asciiTheme="minorEastAsia" w:hAnsiTheme="minorEastAsia" w:eastAsiaTheme="minorEastAsia" w:cstheme="minorEastAsia"/>
                <w:sz w:val="20"/>
                <w:szCs w:val="20"/>
                <w:vertAlign w:val="baseline"/>
              </w:rPr>
            </w:pPr>
            <w:r>
              <w:rPr>
                <w:rFonts w:hint="eastAsia" w:asciiTheme="minorEastAsia" w:hAnsiTheme="minorEastAsia" w:eastAsiaTheme="minorEastAsia" w:cstheme="minorEastAsia"/>
                <w:sz w:val="20"/>
                <w:szCs w:val="20"/>
              </w:rPr>
              <w:t>要求的功能：10GbE、无闭塞、第二层，通过IGMP监听进行多路传送输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vAlign w:val="center"/>
          </w:tcPr>
          <w:p>
            <w:pPr>
              <w:pStyle w:val="34"/>
              <w:spacing w:line="360" w:lineRule="exact"/>
              <w:jc w:val="both"/>
              <w:rPr>
                <w:rFonts w:hint="eastAsia" w:asciiTheme="minorEastAsia" w:hAnsiTheme="minorEastAsia" w:eastAsiaTheme="minorEastAsia" w:cstheme="minorEastAsia"/>
                <w:sz w:val="20"/>
                <w:szCs w:val="20"/>
                <w:vertAlign w:val="baseline"/>
              </w:rPr>
            </w:pPr>
            <w:r>
              <w:rPr>
                <w:rFonts w:hint="eastAsia" w:asciiTheme="minorEastAsia" w:hAnsiTheme="minorEastAsia" w:eastAsiaTheme="minorEastAsia" w:cstheme="minorEastAsia"/>
                <w:sz w:val="20"/>
                <w:szCs w:val="20"/>
              </w:rPr>
              <w:t>支持的输入输出端口数量</w:t>
            </w:r>
          </w:p>
        </w:tc>
        <w:tc>
          <w:tcPr>
            <w:tcW w:w="5049" w:type="dxa"/>
            <w:vAlign w:val="center"/>
          </w:tcPr>
          <w:p>
            <w:pPr>
              <w:pStyle w:val="34"/>
              <w:spacing w:line="360" w:lineRule="exact"/>
              <w:ind w:left="125" w:leftChars="0"/>
              <w:jc w:val="both"/>
              <w:rPr>
                <w:rFonts w:hint="eastAsia" w:asciiTheme="minorEastAsia" w:hAnsiTheme="minorEastAsia" w:eastAsiaTheme="minorEastAsia" w:cstheme="minorEastAsia"/>
                <w:sz w:val="20"/>
                <w:szCs w:val="20"/>
                <w:vertAlign w:val="baseline"/>
              </w:rPr>
            </w:pPr>
            <w:r>
              <w:rPr>
                <w:rFonts w:hint="eastAsia" w:asciiTheme="minorEastAsia" w:hAnsiTheme="minorEastAsia" w:eastAsiaTheme="minorEastAsia" w:cstheme="minorEastAsia"/>
                <w:sz w:val="20"/>
                <w:szCs w:val="20"/>
              </w:rPr>
              <w:t>入输出阵列仅受限于10GbE网络交换机的大小（即端口数量）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vAlign w:val="center"/>
          </w:tcPr>
          <w:p>
            <w:pPr>
              <w:pStyle w:val="34"/>
              <w:spacing w:line="360" w:lineRule="exact"/>
              <w:ind w:firstLine="200" w:firstLineChars="100"/>
              <w:jc w:val="both"/>
              <w:rPr>
                <w:rFonts w:hint="eastAsia" w:asciiTheme="minorEastAsia" w:hAnsiTheme="minorEastAsia" w:eastAsiaTheme="minorEastAsia" w:cstheme="minorEastAsia"/>
                <w:sz w:val="20"/>
                <w:szCs w:val="20"/>
                <w:vertAlign w:val="baseline"/>
              </w:rPr>
            </w:pPr>
            <w:r>
              <w:rPr>
                <w:rFonts w:hint="eastAsia" w:asciiTheme="minorEastAsia" w:hAnsiTheme="minorEastAsia" w:eastAsiaTheme="minorEastAsia" w:cstheme="minorEastAsia"/>
                <w:sz w:val="20"/>
                <w:szCs w:val="20"/>
              </w:rPr>
              <w:t>推荐的范畴电缆</w:t>
            </w:r>
          </w:p>
        </w:tc>
        <w:tc>
          <w:tcPr>
            <w:tcW w:w="5049" w:type="dxa"/>
            <w:vAlign w:val="center"/>
          </w:tcPr>
          <w:p>
            <w:pPr>
              <w:spacing w:before="38" w:line="360" w:lineRule="exact"/>
              <w:ind w:firstLine="100" w:firstLineChars="5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CAT7 S/FTP（500 MHz）AWG 23或CAT7（欧洲）与TIA/EIA-568B终端标准相符合，适用于10G网口版本。</w:t>
            </w:r>
          </w:p>
          <w:p>
            <w:pPr>
              <w:pStyle w:val="34"/>
              <w:spacing w:line="124" w:lineRule="exact"/>
              <w:ind w:left="121" w:leftChars="0"/>
              <w:jc w:val="both"/>
              <w:rPr>
                <w:rFonts w:hint="eastAsia" w:asciiTheme="minorEastAsia" w:hAnsiTheme="minorEastAsia" w:eastAsiaTheme="minorEastAsia" w:cstheme="minorEastAsia"/>
                <w:sz w:val="20"/>
                <w:szCs w:val="2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tcBorders>
              <w:bottom w:val="single" w:color="000000" w:sz="6" w:space="0"/>
            </w:tcBorders>
            <w:vAlign w:val="center"/>
          </w:tcPr>
          <w:p>
            <w:pPr>
              <w:spacing w:before="129" w:line="300" w:lineRule="exact"/>
              <w:ind w:firstLine="200" w:firstLine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最大电缆距离</w:t>
            </w:r>
          </w:p>
          <w:p>
            <w:pPr>
              <w:pStyle w:val="34"/>
              <w:spacing w:line="124" w:lineRule="exact"/>
              <w:ind w:left="162" w:leftChars="0"/>
              <w:jc w:val="both"/>
              <w:rPr>
                <w:rFonts w:hint="eastAsia" w:asciiTheme="minorEastAsia" w:hAnsiTheme="minorEastAsia" w:eastAsiaTheme="minorEastAsia" w:cstheme="minorEastAsia"/>
                <w:sz w:val="20"/>
                <w:szCs w:val="20"/>
                <w:vertAlign w:val="baseline"/>
              </w:rPr>
            </w:pPr>
          </w:p>
        </w:tc>
        <w:tc>
          <w:tcPr>
            <w:tcW w:w="5049" w:type="dxa"/>
            <w:tcBorders>
              <w:bottom w:val="single" w:color="000000" w:sz="6" w:space="0"/>
            </w:tcBorders>
            <w:vAlign w:val="center"/>
          </w:tcPr>
          <w:p>
            <w:pPr>
              <w:pStyle w:val="34"/>
              <w:spacing w:line="360" w:lineRule="exact"/>
              <w:ind w:firstLine="100" w:firstLineChars="50"/>
              <w:jc w:val="both"/>
              <w:rPr>
                <w:rFonts w:hint="eastAsia" w:asciiTheme="minorEastAsia" w:hAnsiTheme="minorEastAsia" w:eastAsiaTheme="minorEastAsia" w:cstheme="minorEastAsia"/>
                <w:sz w:val="20"/>
                <w:szCs w:val="20"/>
                <w:vertAlign w:val="baseline"/>
              </w:rPr>
            </w:pPr>
            <w:r>
              <w:rPr>
                <w:rFonts w:hint="eastAsia" w:asciiTheme="minorEastAsia" w:hAnsiTheme="minorEastAsia" w:eastAsiaTheme="minorEastAsia" w:cstheme="minorEastAsia"/>
                <w:sz w:val="20"/>
                <w:szCs w:val="20"/>
              </w:rPr>
              <w:t>使用10G单模光纤最远传输距离可达30公里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0" w:type="dxa"/>
            <w:gridSpan w:val="2"/>
            <w:tcBorders>
              <w:bottom w:val="single" w:color="000000" w:sz="6" w:space="0"/>
            </w:tcBorders>
            <w:shd w:val="clear" w:color="auto" w:fill="BEBEBE" w:themeFill="background1" w:themeFillShade="BF"/>
            <w:vAlign w:val="center"/>
          </w:tcPr>
          <w:p>
            <w:pPr>
              <w:pStyle w:val="34"/>
              <w:spacing w:line="360" w:lineRule="exact"/>
              <w:ind w:firstLine="120" w:firstLineChars="50"/>
              <w:jc w:val="center"/>
              <w:rPr>
                <w:rFonts w:hint="default" w:asciiTheme="minorEastAsia" w:hAnsiTheme="minorEastAsia" w:eastAsiaTheme="minorEastAsia" w:cstheme="minorEastAsia"/>
                <w:sz w:val="20"/>
                <w:szCs w:val="20"/>
                <w:lang w:val="en-US" w:eastAsia="zh-CN"/>
              </w:rPr>
            </w:pPr>
            <w:r>
              <w:rPr>
                <w:rFonts w:hint="eastAsia" w:asciiTheme="minorEastAsia" w:hAnsiTheme="minorEastAsia" w:cstheme="minorEastAsia"/>
                <w:b/>
                <w:bCs/>
                <w:color w:val="000000"/>
                <w:sz w:val="24"/>
                <w:szCs w:val="24"/>
                <w:lang w:val="en-US" w:eastAsia="zh-CN"/>
              </w:rPr>
              <w:t>视频编码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tcBorders>
              <w:top w:val="single" w:color="000000" w:sz="6" w:space="0"/>
            </w:tcBorders>
            <w:vAlign w:val="center"/>
          </w:tcPr>
          <w:p>
            <w:pPr>
              <w:widowControl/>
              <w:ind w:firstLine="200" w:firstLineChars="100"/>
              <w:jc w:val="both"/>
              <w:rPr>
                <w:rFonts w:hint="eastAsia" w:asciiTheme="minorEastAsia" w:hAnsiTheme="minorEastAsia" w:eastAsiaTheme="minorEastAsia" w:cstheme="minorEastAsia"/>
                <w:sz w:val="20"/>
                <w:szCs w:val="20"/>
                <w:vertAlign w:val="baseline"/>
              </w:rPr>
            </w:pPr>
            <w:r>
              <w:rPr>
                <w:rFonts w:hint="eastAsia" w:asciiTheme="minorEastAsia" w:hAnsiTheme="minorEastAsia" w:eastAsiaTheme="minorEastAsia" w:cstheme="minorEastAsia"/>
                <w:color w:val="000000"/>
                <w:sz w:val="20"/>
                <w:szCs w:val="20"/>
              </w:rPr>
              <w:t>编码类型</w:t>
            </w:r>
          </w:p>
        </w:tc>
        <w:tc>
          <w:tcPr>
            <w:tcW w:w="5049" w:type="dxa"/>
            <w:tcBorders>
              <w:top w:val="single" w:color="000000" w:sz="6" w:space="0"/>
            </w:tcBorders>
            <w:vAlign w:val="center"/>
          </w:tcPr>
          <w:p>
            <w:pPr>
              <w:widowControl/>
              <w:ind w:firstLine="100" w:firstLineChars="50"/>
              <w:jc w:val="both"/>
              <w:rPr>
                <w:rFonts w:hint="eastAsia" w:asciiTheme="minorEastAsia" w:hAnsiTheme="minorEastAsia" w:eastAsiaTheme="minorEastAsia" w:cstheme="minorEastAsia"/>
                <w:sz w:val="20"/>
                <w:szCs w:val="20"/>
                <w:vertAlign w:val="baseline"/>
              </w:rPr>
            </w:pPr>
            <w:r>
              <w:rPr>
                <w:rFonts w:hint="eastAsia" w:asciiTheme="minorEastAsia" w:hAnsiTheme="minorEastAsia" w:eastAsiaTheme="minorEastAsia" w:cstheme="minorEastAsia"/>
                <w:sz w:val="20"/>
                <w:szCs w:val="20"/>
              </w:rPr>
              <w:t>H.264/H.265同时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vAlign w:val="center"/>
          </w:tcPr>
          <w:p>
            <w:pPr>
              <w:widowControl/>
              <w:spacing w:line="300" w:lineRule="exact"/>
              <w:ind w:firstLine="200" w:firstLineChars="100"/>
              <w:jc w:val="both"/>
              <w:rPr>
                <w:rFonts w:hint="eastAsia" w:asciiTheme="minorEastAsia" w:hAnsiTheme="minorEastAsia" w:eastAsiaTheme="minorEastAsia" w:cstheme="minorEastAsia"/>
                <w:sz w:val="20"/>
                <w:szCs w:val="20"/>
                <w:vertAlign w:val="baseline"/>
              </w:rPr>
            </w:pPr>
            <w:r>
              <w:rPr>
                <w:rFonts w:hint="eastAsia" w:asciiTheme="minorEastAsia" w:hAnsiTheme="minorEastAsia" w:eastAsiaTheme="minorEastAsia" w:cstheme="minorEastAsia"/>
                <w:color w:val="000000"/>
                <w:sz w:val="20"/>
                <w:szCs w:val="20"/>
              </w:rPr>
              <w:t>编码帧率</w:t>
            </w:r>
          </w:p>
        </w:tc>
        <w:tc>
          <w:tcPr>
            <w:tcW w:w="5049" w:type="dxa"/>
            <w:vAlign w:val="center"/>
          </w:tcPr>
          <w:p>
            <w:pPr>
              <w:spacing w:before="53" w:line="360" w:lineRule="exact"/>
              <w:ind w:firstLine="100" w:firstLineChars="50"/>
              <w:jc w:val="both"/>
              <w:rPr>
                <w:rFonts w:hint="eastAsia" w:asciiTheme="minorEastAsia" w:hAnsiTheme="minorEastAsia" w:eastAsiaTheme="minorEastAsia" w:cstheme="minorEastAsia"/>
                <w:sz w:val="20"/>
                <w:szCs w:val="20"/>
                <w:vertAlign w:val="baseline"/>
              </w:rPr>
            </w:pPr>
            <w:r>
              <w:rPr>
                <w:rFonts w:hint="eastAsia" w:asciiTheme="minorEastAsia" w:hAnsiTheme="minorEastAsia" w:eastAsiaTheme="minorEastAsia" w:cstheme="minorEastAsia"/>
                <w:sz w:val="20"/>
                <w:szCs w:val="20"/>
              </w:rPr>
              <w:t>5-30可调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vAlign w:val="center"/>
          </w:tcPr>
          <w:p>
            <w:pPr>
              <w:spacing w:before="42" w:line="360" w:lineRule="exact"/>
              <w:ind w:firstLine="200" w:firstLineChars="100"/>
              <w:jc w:val="both"/>
              <w:rPr>
                <w:rFonts w:hint="eastAsia" w:asciiTheme="minorEastAsia" w:hAnsiTheme="minorEastAsia" w:eastAsiaTheme="minorEastAsia" w:cstheme="minorEastAsia"/>
                <w:sz w:val="20"/>
                <w:szCs w:val="20"/>
                <w:vertAlign w:val="baseline"/>
              </w:rPr>
            </w:pPr>
            <w:r>
              <w:rPr>
                <w:rFonts w:hint="eastAsia" w:asciiTheme="minorEastAsia" w:hAnsiTheme="minorEastAsia" w:eastAsiaTheme="minorEastAsia" w:cstheme="minorEastAsia"/>
                <w:sz w:val="20"/>
                <w:szCs w:val="20"/>
              </w:rPr>
              <w:t>关键帧间隔（帧）</w:t>
            </w:r>
          </w:p>
        </w:tc>
        <w:tc>
          <w:tcPr>
            <w:tcW w:w="5049" w:type="dxa"/>
            <w:vAlign w:val="center"/>
          </w:tcPr>
          <w:p>
            <w:pPr>
              <w:spacing w:before="53" w:line="360" w:lineRule="exact"/>
              <w:ind w:firstLine="100" w:firstLineChars="50"/>
              <w:jc w:val="both"/>
              <w:rPr>
                <w:rFonts w:hint="eastAsia" w:asciiTheme="minorEastAsia" w:hAnsiTheme="minorEastAsia" w:eastAsiaTheme="minorEastAsia" w:cstheme="minorEastAsia"/>
                <w:sz w:val="20"/>
                <w:szCs w:val="20"/>
                <w:vertAlign w:val="baseline"/>
              </w:rPr>
            </w:pPr>
            <w:r>
              <w:rPr>
                <w:rFonts w:hint="eastAsia" w:asciiTheme="minorEastAsia" w:hAnsiTheme="minorEastAsia" w:eastAsiaTheme="minorEastAsia" w:cstheme="minorEastAsia"/>
                <w:sz w:val="20"/>
                <w:szCs w:val="20"/>
              </w:rPr>
              <w:t>5-300可调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vAlign w:val="center"/>
          </w:tcPr>
          <w:p>
            <w:pPr>
              <w:spacing w:before="42" w:line="360" w:lineRule="exact"/>
              <w:ind w:firstLine="200" w:firstLineChars="100"/>
              <w:jc w:val="both"/>
              <w:rPr>
                <w:rFonts w:hint="eastAsia" w:asciiTheme="minorEastAsia" w:hAnsiTheme="minorEastAsia" w:eastAsiaTheme="minorEastAsia" w:cstheme="minorEastAsia"/>
                <w:sz w:val="20"/>
                <w:szCs w:val="20"/>
                <w:vertAlign w:val="baseline"/>
              </w:rPr>
            </w:pPr>
            <w:r>
              <w:rPr>
                <w:rFonts w:hint="eastAsia" w:asciiTheme="minorEastAsia" w:hAnsiTheme="minorEastAsia" w:eastAsiaTheme="minorEastAsia" w:cstheme="minorEastAsia"/>
                <w:sz w:val="20"/>
                <w:szCs w:val="20"/>
              </w:rPr>
              <w:t>比特率(kbit)</w:t>
            </w:r>
          </w:p>
        </w:tc>
        <w:tc>
          <w:tcPr>
            <w:tcW w:w="5049" w:type="dxa"/>
            <w:vAlign w:val="center"/>
          </w:tcPr>
          <w:p>
            <w:pPr>
              <w:spacing w:before="53" w:line="360" w:lineRule="exact"/>
              <w:ind w:firstLine="100" w:firstLineChars="50"/>
              <w:jc w:val="both"/>
              <w:rPr>
                <w:rFonts w:hint="eastAsia" w:asciiTheme="minorEastAsia" w:hAnsiTheme="minorEastAsia" w:eastAsiaTheme="minorEastAsia" w:cstheme="minorEastAsia"/>
                <w:sz w:val="20"/>
                <w:szCs w:val="20"/>
                <w:vertAlign w:val="baseline"/>
              </w:rPr>
            </w:pPr>
            <w:r>
              <w:rPr>
                <w:rFonts w:hint="eastAsia" w:asciiTheme="minorEastAsia" w:hAnsiTheme="minorEastAsia" w:eastAsiaTheme="minorEastAsia" w:cstheme="minorEastAsia"/>
                <w:sz w:val="20"/>
                <w:szCs w:val="20"/>
              </w:rPr>
              <w:t>32-1024可调（10M）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vAlign w:val="center"/>
          </w:tcPr>
          <w:p>
            <w:pPr>
              <w:spacing w:before="42" w:line="360" w:lineRule="exact"/>
              <w:ind w:firstLine="200" w:firstLineChars="100"/>
              <w:jc w:val="both"/>
              <w:rPr>
                <w:rFonts w:hint="eastAsia" w:asciiTheme="minorEastAsia" w:hAnsiTheme="minorEastAsia" w:eastAsiaTheme="minorEastAsia" w:cstheme="minorEastAsia"/>
                <w:sz w:val="20"/>
                <w:szCs w:val="20"/>
                <w:vertAlign w:val="baseline"/>
              </w:rPr>
            </w:pPr>
            <w:r>
              <w:rPr>
                <w:rFonts w:hint="eastAsia" w:asciiTheme="minorEastAsia" w:hAnsiTheme="minorEastAsia" w:eastAsiaTheme="minorEastAsia" w:cstheme="minorEastAsia"/>
                <w:sz w:val="20"/>
                <w:szCs w:val="20"/>
              </w:rPr>
              <w:t>编码后分辨率</w:t>
            </w:r>
          </w:p>
        </w:tc>
        <w:tc>
          <w:tcPr>
            <w:tcW w:w="5049" w:type="dxa"/>
            <w:vAlign w:val="center"/>
          </w:tcPr>
          <w:p>
            <w:pPr>
              <w:spacing w:before="53" w:line="360" w:lineRule="exact"/>
              <w:ind w:firstLine="100" w:firstLineChars="50"/>
              <w:jc w:val="both"/>
              <w:rPr>
                <w:rFonts w:hint="eastAsia" w:asciiTheme="minorEastAsia" w:hAnsiTheme="minorEastAsia" w:eastAsiaTheme="minorEastAsia" w:cstheme="minorEastAsia"/>
                <w:sz w:val="20"/>
                <w:szCs w:val="20"/>
                <w:vertAlign w:val="baseline"/>
              </w:rPr>
            </w:pPr>
            <w:r>
              <w:rPr>
                <w:rFonts w:hint="eastAsia" w:asciiTheme="minorEastAsia" w:hAnsiTheme="minorEastAsia" w:eastAsiaTheme="minorEastAsia" w:cstheme="minorEastAsia"/>
                <w:sz w:val="20"/>
                <w:szCs w:val="20"/>
              </w:rPr>
              <w:t>1920X1080/1280x720/720x540/352*288</w:t>
            </w:r>
            <w:r>
              <w:rPr>
                <w:rFonts w:hint="eastAsia" w:asciiTheme="minorEastAsia" w:hAnsiTheme="minorEastAsia" w:eastAsiaTheme="minorEastAsia" w:cstheme="minorEastAsia"/>
                <w:position w:val="1"/>
                <w:sz w:val="20"/>
                <w:szCs w:val="20"/>
              </w:rPr>
              <w:t>与输入分辨率相同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vAlign w:val="center"/>
          </w:tcPr>
          <w:p>
            <w:pPr>
              <w:spacing w:before="42" w:line="360" w:lineRule="exact"/>
              <w:ind w:firstLine="200" w:firstLineChars="100"/>
              <w:jc w:val="both"/>
              <w:rPr>
                <w:rFonts w:hint="eastAsia" w:asciiTheme="minorEastAsia" w:hAnsiTheme="minorEastAsia" w:eastAsiaTheme="minorEastAsia" w:cstheme="minorEastAsia"/>
                <w:sz w:val="20"/>
                <w:szCs w:val="20"/>
                <w:vertAlign w:val="baseline"/>
              </w:rPr>
            </w:pPr>
            <w:r>
              <w:rPr>
                <w:rFonts w:hint="eastAsia" w:asciiTheme="minorEastAsia" w:hAnsiTheme="minorEastAsia" w:eastAsiaTheme="minorEastAsia" w:cstheme="minorEastAsia"/>
                <w:sz w:val="20"/>
                <w:szCs w:val="20"/>
              </w:rPr>
              <w:t>码流控</w:t>
            </w:r>
          </w:p>
        </w:tc>
        <w:tc>
          <w:tcPr>
            <w:tcW w:w="5049" w:type="dxa"/>
            <w:vAlign w:val="center"/>
          </w:tcPr>
          <w:p>
            <w:pPr>
              <w:pStyle w:val="9"/>
              <w:spacing w:before="8" w:line="360" w:lineRule="exact"/>
              <w:ind w:left="0" w:leftChars="0" w:firstLine="0" w:firstLineChars="0"/>
              <w:jc w:val="both"/>
              <w:rPr>
                <w:rFonts w:hint="eastAsia" w:asciiTheme="minorEastAsia" w:hAnsiTheme="minorEastAsia" w:eastAsiaTheme="minorEastAsia" w:cstheme="minorEastAsia"/>
                <w:sz w:val="20"/>
                <w:szCs w:val="20"/>
                <w:vertAlign w:val="baseline"/>
              </w:rPr>
            </w:pPr>
            <w:r>
              <w:rPr>
                <w:rFonts w:hint="eastAsia" w:asciiTheme="minorEastAsia" w:hAnsiTheme="minorEastAsia" w:eastAsiaTheme="minorEastAsia" w:cstheme="minorEastAsia"/>
                <w:sz w:val="20"/>
                <w:szCs w:val="20"/>
              </w:rPr>
              <w:t>Cbr/vbr可选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451" w:type="dxa"/>
            <w:tcBorders>
              <w:bottom w:val="single" w:color="000000" w:sz="6" w:space="0"/>
            </w:tcBorders>
            <w:vAlign w:val="center"/>
          </w:tcPr>
          <w:p>
            <w:pPr>
              <w:spacing w:before="124" w:line="360" w:lineRule="exact"/>
              <w:ind w:right="729"/>
              <w:jc w:val="both"/>
              <w:rPr>
                <w:rFonts w:hint="eastAsia" w:asciiTheme="minorEastAsia" w:hAnsiTheme="minorEastAsia" w:eastAsiaTheme="minorEastAsia" w:cstheme="minorEastAsia"/>
                <w:sz w:val="20"/>
                <w:szCs w:val="20"/>
                <w:vertAlign w:val="baseline"/>
              </w:rPr>
            </w:pPr>
            <w:r>
              <w:rPr>
                <w:rFonts w:hint="eastAsia" w:asciiTheme="minorEastAsia" w:hAnsiTheme="minorEastAsia" w:cstheme="minorEastAsia"/>
                <w:sz w:val="20"/>
                <w:szCs w:val="20"/>
                <w:vertAlign w:val="baseline"/>
                <w:lang w:val="en-US" w:eastAsia="zh-CN"/>
              </w:rPr>
              <w:t xml:space="preserve">  </w:t>
            </w:r>
            <w:r>
              <w:rPr>
                <w:rFonts w:hint="eastAsia" w:asciiTheme="minorEastAsia" w:hAnsiTheme="minorEastAsia" w:eastAsiaTheme="minorEastAsia" w:cstheme="minorEastAsia"/>
                <w:sz w:val="20"/>
                <w:szCs w:val="20"/>
                <w:vertAlign w:val="baseline"/>
              </w:rPr>
              <w:t>码流</w:t>
            </w:r>
          </w:p>
        </w:tc>
        <w:tc>
          <w:tcPr>
            <w:tcW w:w="5049" w:type="dxa"/>
            <w:tcBorders>
              <w:bottom w:val="single" w:color="000000" w:sz="6" w:space="0"/>
            </w:tcBorders>
            <w:vAlign w:val="center"/>
          </w:tcPr>
          <w:p>
            <w:pPr>
              <w:spacing w:line="360" w:lineRule="exact"/>
              <w:ind w:firstLine="100" w:firstLineChars="50"/>
              <w:jc w:val="both"/>
              <w:rPr>
                <w:rFonts w:hint="eastAsia" w:asciiTheme="minorEastAsia" w:hAnsiTheme="minorEastAsia" w:eastAsiaTheme="minorEastAsia" w:cstheme="minorEastAsia"/>
                <w:sz w:val="20"/>
                <w:szCs w:val="20"/>
                <w:vertAlign w:val="baseline"/>
              </w:rPr>
            </w:pPr>
            <w:r>
              <w:rPr>
                <w:rFonts w:hint="eastAsia" w:asciiTheme="minorEastAsia" w:hAnsiTheme="minorEastAsia" w:eastAsiaTheme="minorEastAsia" w:cstheme="minorEastAsia"/>
                <w:sz w:val="20"/>
                <w:szCs w:val="20"/>
                <w:vertAlign w:val="baseline"/>
              </w:rPr>
              <w:t>支持 /RTSP/ONVIF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7500" w:type="dxa"/>
            <w:gridSpan w:val="2"/>
            <w:tcBorders>
              <w:bottom w:val="single" w:color="000000" w:sz="6" w:space="0"/>
            </w:tcBorders>
            <w:shd w:val="clear" w:color="auto" w:fill="BEBEBE" w:themeFill="background1" w:themeFillShade="BF"/>
            <w:vAlign w:val="center"/>
          </w:tcPr>
          <w:p>
            <w:pPr>
              <w:spacing w:line="360" w:lineRule="exact"/>
              <w:ind w:firstLine="120" w:firstLineChars="50"/>
              <w:jc w:val="center"/>
              <w:rPr>
                <w:rFonts w:hint="eastAsia" w:asciiTheme="minorEastAsia" w:hAnsiTheme="minorEastAsia" w:eastAsiaTheme="minorEastAsia" w:cstheme="minorEastAsia"/>
                <w:sz w:val="20"/>
                <w:szCs w:val="20"/>
                <w:vertAlign w:val="baseline"/>
                <w:lang w:val="en-US" w:eastAsia="zh-CN"/>
              </w:rPr>
            </w:pPr>
            <w:r>
              <w:rPr>
                <w:rFonts w:hint="eastAsia" w:asciiTheme="minorEastAsia" w:hAnsiTheme="minorEastAsia" w:eastAsiaTheme="minorEastAsia" w:cstheme="minorEastAsia"/>
                <w:b/>
                <w:bCs/>
                <w:color w:val="000000"/>
                <w:kern w:val="2"/>
                <w:sz w:val="24"/>
                <w:szCs w:val="24"/>
                <w:lang w:val="en-US" w:eastAsia="zh-CN" w:bidi="ar-SA"/>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tcBorders>
              <w:top w:val="single" w:color="000000" w:sz="6" w:space="0"/>
            </w:tcBorders>
            <w:vAlign w:val="center"/>
          </w:tcPr>
          <w:p>
            <w:pPr>
              <w:widowControl/>
              <w:ind w:firstLine="200" w:firstLine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典型电力消耗</w:t>
            </w:r>
          </w:p>
        </w:tc>
        <w:tc>
          <w:tcPr>
            <w:tcW w:w="5049" w:type="dxa"/>
            <w:tcBorders>
              <w:top w:val="single" w:color="000000" w:sz="6" w:space="0"/>
            </w:tcBorders>
            <w:vAlign w:val="center"/>
          </w:tcPr>
          <w:p>
            <w:pPr>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整机约20W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vAlign w:val="center"/>
          </w:tcPr>
          <w:p>
            <w:pPr>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外部交流电适配器</w:t>
            </w:r>
          </w:p>
        </w:tc>
        <w:tc>
          <w:tcPr>
            <w:tcW w:w="5049" w:type="dxa"/>
            <w:vAlign w:val="center"/>
          </w:tcPr>
          <w:p>
            <w:pPr>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输入：100-240V 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vAlign w:val="center"/>
          </w:tcPr>
          <w:p>
            <w:pPr>
              <w:spacing w:before="42" w:line="360" w:lineRule="exact"/>
              <w:ind w:firstLine="200" w:firstLine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结构</w:t>
            </w:r>
          </w:p>
        </w:tc>
        <w:tc>
          <w:tcPr>
            <w:tcW w:w="5049" w:type="dxa"/>
            <w:vAlign w:val="center"/>
          </w:tcPr>
          <w:p>
            <w:pPr>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称重式铁制外壳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vAlign w:val="center"/>
          </w:tcPr>
          <w:p>
            <w:pPr>
              <w:spacing w:before="42" w:line="360" w:lineRule="exact"/>
              <w:ind w:firstLine="200" w:firstLine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尺寸（长X宽X高）</w:t>
            </w:r>
          </w:p>
        </w:tc>
        <w:tc>
          <w:tcPr>
            <w:tcW w:w="5049" w:type="dxa"/>
            <w:vAlign w:val="center"/>
          </w:tcPr>
          <w:p>
            <w:pPr>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pacing w:val="8"/>
                <w:sz w:val="20"/>
                <w:szCs w:val="20"/>
              </w:rPr>
              <w:t>单位尺寸：</w:t>
            </w:r>
            <w:r>
              <w:rPr>
                <w:rFonts w:hint="eastAsia" w:asciiTheme="minorEastAsia" w:hAnsiTheme="minorEastAsia" w:eastAsiaTheme="minorEastAsia" w:cstheme="minorEastAsia"/>
                <w:spacing w:val="5"/>
                <w:sz w:val="20"/>
                <w:szCs w:val="20"/>
              </w:rPr>
              <w:t xml:space="preserve">480 </w:t>
            </w:r>
            <w:r>
              <w:rPr>
                <w:rFonts w:hint="eastAsia" w:asciiTheme="minorEastAsia" w:hAnsiTheme="minorEastAsia" w:eastAsiaTheme="minorEastAsia" w:cstheme="minorEastAsia"/>
                <w:sz w:val="20"/>
                <w:szCs w:val="20"/>
              </w:rPr>
              <w:t xml:space="preserve">x </w:t>
            </w:r>
            <w:r>
              <w:rPr>
                <w:rFonts w:hint="eastAsia" w:asciiTheme="minorEastAsia" w:hAnsiTheme="minorEastAsia" w:eastAsiaTheme="minorEastAsia" w:cstheme="minorEastAsia"/>
                <w:spacing w:val="7"/>
                <w:sz w:val="20"/>
                <w:szCs w:val="20"/>
              </w:rPr>
              <w:t xml:space="preserve">235 </w:t>
            </w:r>
            <w:r>
              <w:rPr>
                <w:rFonts w:hint="eastAsia" w:asciiTheme="minorEastAsia" w:hAnsiTheme="minorEastAsia" w:eastAsiaTheme="minorEastAsia" w:cstheme="minorEastAsia"/>
                <w:sz w:val="20"/>
                <w:szCs w:val="20"/>
              </w:rPr>
              <w:t xml:space="preserve">x </w:t>
            </w:r>
            <w:r>
              <w:rPr>
                <w:rFonts w:hint="eastAsia" w:asciiTheme="minorEastAsia" w:hAnsiTheme="minorEastAsia" w:eastAsiaTheme="minorEastAsia" w:cstheme="minorEastAsia"/>
                <w:spacing w:val="8"/>
                <w:sz w:val="20"/>
                <w:szCs w:val="20"/>
              </w:rPr>
              <w:t>44(mm)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vAlign w:val="center"/>
          </w:tcPr>
          <w:p>
            <w:pPr>
              <w:spacing w:before="42" w:line="360" w:lineRule="exact"/>
              <w:ind w:firstLine="200" w:firstLine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裸机重量</w:t>
            </w:r>
          </w:p>
        </w:tc>
        <w:tc>
          <w:tcPr>
            <w:tcW w:w="5049" w:type="dxa"/>
            <w:vAlign w:val="center"/>
          </w:tcPr>
          <w:p>
            <w:pPr>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单位重量：3.4Kg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vAlign w:val="center"/>
          </w:tcPr>
          <w:p>
            <w:pPr>
              <w:spacing w:before="42" w:line="360" w:lineRule="exact"/>
              <w:ind w:firstLine="200" w:firstLine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工作温度（环境）</w:t>
            </w:r>
          </w:p>
        </w:tc>
        <w:tc>
          <w:tcPr>
            <w:tcW w:w="5049" w:type="dxa"/>
            <w:vAlign w:val="center"/>
          </w:tcPr>
          <w:p>
            <w:pPr>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vAlign w:val="center"/>
          </w:tcPr>
          <w:p>
            <w:pPr>
              <w:spacing w:before="42" w:line="360" w:lineRule="exact"/>
              <w:ind w:firstLine="200" w:firstLine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典型外表温度</w:t>
            </w:r>
          </w:p>
        </w:tc>
        <w:tc>
          <w:tcPr>
            <w:tcW w:w="5049" w:type="dxa"/>
            <w:vAlign w:val="center"/>
          </w:tcPr>
          <w:p>
            <w:pPr>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Rx单元：105.8° F (41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vAlign w:val="center"/>
          </w:tcPr>
          <w:p>
            <w:pPr>
              <w:spacing w:before="42" w:line="360" w:lineRule="exact"/>
              <w:ind w:firstLine="200" w:firstLine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存储温度（环境）</w:t>
            </w:r>
          </w:p>
        </w:tc>
        <w:tc>
          <w:tcPr>
            <w:tcW w:w="5049" w:type="dxa"/>
            <w:vAlign w:val="center"/>
          </w:tcPr>
          <w:p>
            <w:pPr>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 至+158° F (-20° to+70°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1" w:type="dxa"/>
            <w:vAlign w:val="center"/>
          </w:tcPr>
          <w:p>
            <w:pPr>
              <w:spacing w:before="42" w:line="360" w:lineRule="exact"/>
              <w:ind w:firstLine="200" w:firstLine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工作/存储湿度</w:t>
            </w:r>
          </w:p>
        </w:tc>
        <w:tc>
          <w:tcPr>
            <w:tcW w:w="5049" w:type="dxa"/>
            <w:vAlign w:val="center"/>
          </w:tcPr>
          <w:p>
            <w:pPr>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10%至90%（不凝固）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451" w:type="dxa"/>
            <w:vAlign w:val="center"/>
          </w:tcPr>
          <w:p>
            <w:pPr>
              <w:spacing w:before="42" w:line="360" w:lineRule="exact"/>
              <w:ind w:firstLine="200" w:firstLine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保修期</w:t>
            </w:r>
          </w:p>
        </w:tc>
        <w:tc>
          <w:tcPr>
            <w:tcW w:w="5049" w:type="dxa"/>
            <w:vAlign w:val="center"/>
          </w:tcPr>
          <w:p>
            <w:pPr>
              <w:spacing w:before="42" w:line="360" w:lineRule="exact"/>
              <w:ind w:firstLine="200" w:firstLineChars="100"/>
              <w:jc w:val="both"/>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壹年零部件保修</w:t>
            </w:r>
          </w:p>
        </w:tc>
      </w:tr>
    </w:tbl>
    <w:p>
      <w:pPr>
        <w:pStyle w:val="2"/>
        <w:jc w:val="both"/>
        <w:rPr>
          <w:rFonts w:hint="eastAsia" w:ascii="微软雅黑" w:hAnsi="微软雅黑" w:eastAsia="微软雅黑" w:cstheme="minorBidi"/>
          <w:kern w:val="2"/>
          <w:sz w:val="24"/>
          <w:szCs w:val="24"/>
          <w:lang w:val="en-US" w:eastAsia="zh-CN" w:bidi="ar-SA"/>
        </w:rPr>
      </w:pPr>
    </w:p>
    <w:sectPr>
      <w:headerReference r:id="rId3" w:type="default"/>
      <w:footerReference r:id="rId4" w:type="default"/>
      <w:pgSz w:w="11906" w:h="16838"/>
      <w:pgMar w:top="1440" w:right="991" w:bottom="1440" w:left="993" w:header="454" w:footer="90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思源黑体 CN Heavy">
    <w:altName w:val="黑体"/>
    <w:panose1 w:val="020B0A00000000000000"/>
    <w:charset w:val="86"/>
    <w:family w:val="swiss"/>
    <w:pitch w:val="default"/>
    <w:sig w:usb0="00000000" w:usb1="00000000" w:usb2="00000016" w:usb3="00000000" w:csb0="0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5688330</wp:posOffset>
          </wp:positionH>
          <wp:positionV relativeFrom="paragraph">
            <wp:posOffset>121920</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lang w:val="en-US" w:eastAsia="zh-CN"/>
      </w:rPr>
      <w:t xml:space="preserve">                           </w:t>
    </w:r>
    <w:r>
      <w:rPr>
        <w:rFonts w:hint="eastAsia" w:eastAsiaTheme="minorEastAsia"/>
        <w:lang w:eastAsia="zh-CN"/>
      </w:rPr>
      <w:drawing>
        <wp:inline distT="0" distB="0" distL="114300" distR="114300">
          <wp:extent cx="2376805" cy="713740"/>
          <wp:effectExtent l="0" t="0" r="4445" b="635"/>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713740"/>
                  </a:xfrm>
                  <a:prstGeom prst="rect">
                    <a:avLst/>
                  </a:prstGeom>
                </pic:spPr>
              </pic:pic>
            </a:graphicData>
          </a:graphic>
        </wp:inline>
      </w:drawing>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A80EE6"/>
    <w:multiLevelType w:val="singleLevel"/>
    <w:tmpl w:val="51A80EE6"/>
    <w:lvl w:ilvl="0" w:tentative="0">
      <w:start w:val="1"/>
      <w:numFmt w:val="bullet"/>
      <w:lvlText w:val=""/>
      <w:lvlJc w:val="left"/>
      <w:pPr>
        <w:ind w:left="420" w:hanging="420"/>
      </w:pPr>
      <w:rPr>
        <w:rFonts w:hint="default" w:ascii="Wingdings" w:hAnsi="Wingdings"/>
      </w:rPr>
    </w:lvl>
  </w:abstractNum>
  <w:abstractNum w:abstractNumId="1">
    <w:nsid w:val="77198EB8"/>
    <w:multiLevelType w:val="singleLevel"/>
    <w:tmpl w:val="77198EB8"/>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9A3E22"/>
    <w:rsid w:val="04B213C1"/>
    <w:rsid w:val="04D17AA6"/>
    <w:rsid w:val="057E74F5"/>
    <w:rsid w:val="05A131E3"/>
    <w:rsid w:val="06B35455"/>
    <w:rsid w:val="0A9F4195"/>
    <w:rsid w:val="0B6D6042"/>
    <w:rsid w:val="0EC21597"/>
    <w:rsid w:val="101C440E"/>
    <w:rsid w:val="114E06C3"/>
    <w:rsid w:val="11C91AF8"/>
    <w:rsid w:val="15E2762C"/>
    <w:rsid w:val="16CA259A"/>
    <w:rsid w:val="17D80473"/>
    <w:rsid w:val="183028D1"/>
    <w:rsid w:val="18D94D16"/>
    <w:rsid w:val="1C024584"/>
    <w:rsid w:val="1D61352C"/>
    <w:rsid w:val="1E7B061E"/>
    <w:rsid w:val="1F0B7BF4"/>
    <w:rsid w:val="1F14208B"/>
    <w:rsid w:val="207F7B8E"/>
    <w:rsid w:val="21F11323"/>
    <w:rsid w:val="22EA5D72"/>
    <w:rsid w:val="24561911"/>
    <w:rsid w:val="25800FD6"/>
    <w:rsid w:val="26A34BB6"/>
    <w:rsid w:val="2A6428AE"/>
    <w:rsid w:val="2B847C6D"/>
    <w:rsid w:val="2D1C7470"/>
    <w:rsid w:val="2D870D8D"/>
    <w:rsid w:val="2E335B48"/>
    <w:rsid w:val="302C5C1C"/>
    <w:rsid w:val="311A1F18"/>
    <w:rsid w:val="315E1E05"/>
    <w:rsid w:val="319620CE"/>
    <w:rsid w:val="35AA386B"/>
    <w:rsid w:val="38DC5587"/>
    <w:rsid w:val="39616936"/>
    <w:rsid w:val="3C4D4F50"/>
    <w:rsid w:val="3DFC6C2D"/>
    <w:rsid w:val="3DFE0BF8"/>
    <w:rsid w:val="3F163D1F"/>
    <w:rsid w:val="402C30CE"/>
    <w:rsid w:val="445F194D"/>
    <w:rsid w:val="449F6565"/>
    <w:rsid w:val="45E5269D"/>
    <w:rsid w:val="49941EC5"/>
    <w:rsid w:val="4A6C1E3D"/>
    <w:rsid w:val="4D16516C"/>
    <w:rsid w:val="4E870795"/>
    <w:rsid w:val="4E9764FE"/>
    <w:rsid w:val="4EA8496E"/>
    <w:rsid w:val="503F0BFC"/>
    <w:rsid w:val="50BB2978"/>
    <w:rsid w:val="50EC0D83"/>
    <w:rsid w:val="51905BB3"/>
    <w:rsid w:val="51D57A6A"/>
    <w:rsid w:val="52944C12"/>
    <w:rsid w:val="538C05FC"/>
    <w:rsid w:val="552F7491"/>
    <w:rsid w:val="56755377"/>
    <w:rsid w:val="56D54068"/>
    <w:rsid w:val="56F02C50"/>
    <w:rsid w:val="589046EA"/>
    <w:rsid w:val="597D4C6F"/>
    <w:rsid w:val="598D4799"/>
    <w:rsid w:val="5A737E20"/>
    <w:rsid w:val="5B5A4166"/>
    <w:rsid w:val="5C0C052C"/>
    <w:rsid w:val="61AA1D5B"/>
    <w:rsid w:val="62053A53"/>
    <w:rsid w:val="64BE25DF"/>
    <w:rsid w:val="677671A1"/>
    <w:rsid w:val="689550A0"/>
    <w:rsid w:val="690A736D"/>
    <w:rsid w:val="69586B5E"/>
    <w:rsid w:val="6C044D7B"/>
    <w:rsid w:val="6DE035C6"/>
    <w:rsid w:val="6EAD133E"/>
    <w:rsid w:val="6F7C10CD"/>
    <w:rsid w:val="74121C10"/>
    <w:rsid w:val="746C5BB4"/>
    <w:rsid w:val="74FC0CE6"/>
    <w:rsid w:val="759E7FEF"/>
    <w:rsid w:val="76E93A99"/>
    <w:rsid w:val="77316C41"/>
    <w:rsid w:val="77BE6DDB"/>
    <w:rsid w:val="77BF424C"/>
    <w:rsid w:val="77EC376A"/>
    <w:rsid w:val="794932DF"/>
    <w:rsid w:val="7E4E00D8"/>
    <w:rsid w:val="7F427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6"/>
    <w:qFormat/>
    <w:uiPriority w:val="9"/>
    <w:pPr>
      <w:spacing w:before="340" w:after="330" w:line="578" w:lineRule="auto"/>
      <w:outlineLvl w:val="0"/>
    </w:pPr>
    <w:rPr>
      <w:kern w:val="44"/>
      <w:sz w:val="44"/>
      <w:szCs w:val="44"/>
    </w:rPr>
  </w:style>
  <w:style w:type="paragraph" w:styleId="4">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2"/>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1"/>
    <w:semiHidden/>
    <w:unhideWhenUsed/>
    <w:qFormat/>
    <w:uiPriority w:val="99"/>
    <w:rPr>
      <w:sz w:val="18"/>
      <w:szCs w:val="18"/>
    </w:rPr>
  </w:style>
  <w:style w:type="paragraph" w:styleId="11">
    <w:name w:val="footer"/>
    <w:basedOn w:val="1"/>
    <w:link w:val="20"/>
    <w:unhideWhenUsed/>
    <w:qFormat/>
    <w:uiPriority w:val="99"/>
    <w:pPr>
      <w:tabs>
        <w:tab w:val="center" w:pos="4153"/>
        <w:tab w:val="right" w:pos="8306"/>
      </w:tabs>
      <w:snapToGrid w:val="0"/>
      <w:jc w:val="left"/>
    </w:pPr>
    <w:rPr>
      <w:sz w:val="18"/>
      <w:szCs w:val="18"/>
    </w:rPr>
  </w:style>
  <w:style w:type="paragraph" w:styleId="12">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2"/>
    <w:basedOn w:val="1"/>
    <w:next w:val="1"/>
    <w:semiHidden/>
    <w:unhideWhenUsed/>
    <w:uiPriority w:val="39"/>
    <w:pPr>
      <w:ind w:left="420" w:leftChars="200"/>
    </w:pPr>
  </w:style>
  <w:style w:type="table" w:styleId="16">
    <w:name w:val="Table Grid"/>
    <w:basedOn w:val="15"/>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customStyle="1" w:styleId="19">
    <w:name w:val="页眉 字符"/>
    <w:basedOn w:val="17"/>
    <w:link w:val="12"/>
    <w:qFormat/>
    <w:uiPriority w:val="99"/>
    <w:rPr>
      <w:sz w:val="18"/>
      <w:szCs w:val="18"/>
    </w:rPr>
  </w:style>
  <w:style w:type="character" w:customStyle="1" w:styleId="20">
    <w:name w:val="页脚 字符"/>
    <w:basedOn w:val="17"/>
    <w:link w:val="11"/>
    <w:qFormat/>
    <w:uiPriority w:val="99"/>
    <w:rPr>
      <w:sz w:val="18"/>
      <w:szCs w:val="18"/>
    </w:rPr>
  </w:style>
  <w:style w:type="character" w:customStyle="1" w:styleId="21">
    <w:name w:val="批注框文本 字符"/>
    <w:basedOn w:val="17"/>
    <w:link w:val="10"/>
    <w:semiHidden/>
    <w:qFormat/>
    <w:uiPriority w:val="99"/>
    <w:rPr>
      <w:sz w:val="18"/>
      <w:szCs w:val="18"/>
    </w:rPr>
  </w:style>
  <w:style w:type="character" w:customStyle="1" w:styleId="22">
    <w:name w:val="标题 3 字符"/>
    <w:basedOn w:val="17"/>
    <w:link w:val="5"/>
    <w:qFormat/>
    <w:uiPriority w:val="9"/>
    <w:rPr>
      <w:b/>
      <w:sz w:val="32"/>
    </w:rPr>
  </w:style>
  <w:style w:type="character" w:customStyle="1" w:styleId="23">
    <w:name w:val="标题 2 字符"/>
    <w:basedOn w:val="17"/>
    <w:link w:val="4"/>
    <w:qFormat/>
    <w:uiPriority w:val="9"/>
    <w:rPr>
      <w:rFonts w:asciiTheme="majorHAnsi" w:hAnsiTheme="majorHAnsi" w:eastAsiaTheme="majorEastAsia" w:cstheme="majorBidi"/>
      <w:b/>
      <w:bCs/>
      <w:sz w:val="32"/>
      <w:szCs w:val="32"/>
    </w:rPr>
  </w:style>
  <w:style w:type="paragraph" w:customStyle="1" w:styleId="24">
    <w:name w:val="列表段落1"/>
    <w:basedOn w:val="1"/>
    <w:qFormat/>
    <w:uiPriority w:val="34"/>
    <w:pPr>
      <w:ind w:firstLine="420" w:firstLineChars="200"/>
    </w:pPr>
  </w:style>
  <w:style w:type="paragraph" w:styleId="25">
    <w:name w:val="List Paragraph"/>
    <w:basedOn w:val="1"/>
    <w:qFormat/>
    <w:uiPriority w:val="34"/>
    <w:pPr>
      <w:ind w:firstLine="420" w:firstLineChars="200"/>
    </w:pPr>
  </w:style>
  <w:style w:type="character" w:customStyle="1" w:styleId="26">
    <w:name w:val="标题 1 字符"/>
    <w:basedOn w:val="17"/>
    <w:link w:val="3"/>
    <w:qFormat/>
    <w:uiPriority w:val="9"/>
    <w:rPr>
      <w:b/>
      <w:bCs/>
      <w:kern w:val="44"/>
      <w:sz w:val="44"/>
      <w:szCs w:val="44"/>
    </w:rPr>
  </w:style>
  <w:style w:type="paragraph" w:customStyle="1" w:styleId="27">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8">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9">
    <w:name w:val="样式1"/>
    <w:basedOn w:val="3"/>
    <w:next w:val="1"/>
    <w:qFormat/>
    <w:uiPriority w:val="0"/>
    <w:pPr>
      <w:spacing w:before="100" w:after="90"/>
    </w:pPr>
  </w:style>
  <w:style w:type="paragraph" w:customStyle="1" w:styleId="30">
    <w:name w:val="样式2"/>
    <w:basedOn w:val="3"/>
    <w:next w:val="1"/>
    <w:qFormat/>
    <w:uiPriority w:val="0"/>
    <w:pPr>
      <w:spacing w:before="120" w:after="120" w:line="360" w:lineRule="auto"/>
    </w:p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3">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4">
    <w:name w:val="Table Paragraph"/>
    <w:basedOn w:val="1"/>
    <w:qFormat/>
    <w:uiPriority w:val="1"/>
  </w:style>
  <w:style w:type="paragraph" w:styleId="35">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6">
    <w:name w:val="网格型1"/>
    <w:basedOn w:val="1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Pages>
  <Words>1755</Words>
  <Characters>2263</Characters>
  <Lines>6</Lines>
  <Paragraphs>1</Paragraphs>
  <TotalTime>6</TotalTime>
  <ScaleCrop>false</ScaleCrop>
  <LinksUpToDate>false</LinksUpToDate>
  <CharactersWithSpaces>2316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2022-11-29T08:54:06Z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CBBEF6A5B68544B38B2D3A48B50E34E0</vt:lpwstr>
  </property>
</Properties>
</file>