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outlineLvl w:val="9"/>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10G单引擎</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Cs/>
          <w:szCs w:val="88"/>
        </w:rPr>
      </w:pPr>
      <w:r>
        <w:rPr>
          <w:rFonts w:hint="eastAsia" w:ascii="微软雅黑" w:hAnsi="微软雅黑" w:eastAsia="微软雅黑" w:cs="微软雅黑"/>
          <w:b/>
          <w:bCs/>
          <w:sz w:val="88"/>
          <w:szCs w:val="88"/>
        </w:rPr>
        <w:t>格</w:t>
      </w:r>
    </w:p>
    <w:p>
      <w:pPr>
        <w:jc w:val="center"/>
        <w:rPr>
          <w:rFonts w:hint="eastAsia" w:ascii="微软雅黑" w:hAnsi="微软雅黑" w:eastAsia="微软雅黑" w:cs="微软雅黑"/>
          <w:bCs/>
          <w:szCs w:val="88"/>
        </w:rPr>
      </w:pPr>
      <w:r>
        <w:rPr>
          <w:rFonts w:hint="eastAsia" w:ascii="微软雅黑" w:hAnsi="微软雅黑" w:eastAsia="微软雅黑" w:cs="微软雅黑"/>
          <w:b/>
          <w:bCs/>
          <w:sz w:val="88"/>
          <w:szCs w:val="88"/>
        </w:rPr>
        <w:t>书</w:t>
      </w:r>
    </w:p>
    <w:bookmarkEnd w:id="0"/>
    <w:p>
      <w:pPr>
        <w:jc w:val="center"/>
        <w:rPr>
          <w:rFonts w:ascii="微软雅黑" w:hAnsi="微软雅黑" w:eastAsia="微软雅黑" w:cs="思源黑体 CN Heavy"/>
          <w:b/>
          <w:sz w:val="52"/>
          <w:szCs w:val="52"/>
        </w:rPr>
      </w:pPr>
      <w:r>
        <w:rPr>
          <w:rFonts w:hint="eastAsia" w:ascii="微软雅黑" w:hAnsi="微软雅黑" w:eastAsia="微软雅黑" w:cs="思源黑体 CN Heavy"/>
          <w:b/>
          <w:sz w:val="52"/>
          <w:szCs w:val="52"/>
          <w:lang w:val="en-US" w:eastAsia="zh-CN"/>
        </w:rPr>
        <w:t>4K无压缩</w:t>
      </w:r>
      <w:bookmarkStart w:id="34" w:name="_GoBack"/>
      <w:bookmarkEnd w:id="34"/>
      <w:r>
        <w:rPr>
          <w:rFonts w:hint="eastAsia" w:ascii="微软雅黑" w:hAnsi="微软雅黑" w:eastAsia="微软雅黑" w:cs="思源黑体 CN Heavy"/>
          <w:b/>
          <w:sz w:val="52"/>
          <w:szCs w:val="52"/>
        </w:rPr>
        <w:t>输入输出接口机</w:t>
      </w:r>
    </w:p>
    <w:p>
      <w:pPr>
        <w:jc w:val="center"/>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DN-210-TXFU /DN-210-RXFU</w:t>
      </w:r>
    </w:p>
    <w:p>
      <w:pPr>
        <w:spacing w:line="360" w:lineRule="auto"/>
        <w:ind w:firstLine="3960" w:firstLineChars="1100"/>
        <w:jc w:val="both"/>
        <w:rPr>
          <w:rFonts w:hint="eastAsia" w:ascii="微软雅黑" w:hAnsi="微软雅黑" w:eastAsia="微软雅黑"/>
          <w:b w:val="0"/>
          <w:bCs/>
          <w:sz w:val="36"/>
          <w:szCs w:val="36"/>
          <w:highlight w:val="none"/>
          <w:lang w:val="en-US" w:eastAsia="zh-CN"/>
        </w:rPr>
      </w:pP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10G</w:t>
      </w:r>
      <w:r>
        <w:rPr>
          <w:rFonts w:hint="eastAsia" w:ascii="微软雅黑" w:hAnsi="微软雅黑" w:eastAsia="微软雅黑" w:cs="微软雅黑"/>
          <w:sz w:val="24"/>
          <w:szCs w:val="24"/>
          <w:highlight w:val="none"/>
          <w:lang w:val="en-US" w:eastAsia="zh-CN"/>
        </w:rPr>
        <w:t>单引擎系列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侵犯任</w:t>
      </w:r>
      <w:r>
        <w:rPr>
          <w:rFonts w:hint="eastAsia" w:ascii="微软雅黑" w:hAnsi="微软雅黑" w:eastAsia="微软雅黑" w:cs="微软雅黑"/>
          <w:sz w:val="24"/>
          <w:szCs w:val="24"/>
        </w:rPr>
        <w:t>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r>
        <w:br w:type="page"/>
      </w:r>
    </w:p>
    <w:sdt>
      <w:sdtPr>
        <w:rPr>
          <w:rFonts w:hint="eastAsia" w:ascii="微软雅黑" w:hAnsi="微软雅黑" w:eastAsia="微软雅黑" w:cs="微软雅黑"/>
          <w:kern w:val="2"/>
          <w:sz w:val="40"/>
          <w:szCs w:val="40"/>
          <w:lang w:val="en-US" w:eastAsia="zh-CN" w:bidi="ar-SA"/>
        </w:rPr>
        <w:id w:val="147472788"/>
        <w15:color w:val="DBDBDB"/>
        <w:docPartObj>
          <w:docPartGallery w:val="Table of Contents"/>
          <w:docPartUnique/>
        </w:docPartObj>
      </w:sdtPr>
      <w:sdtEndPr>
        <w:rPr>
          <w:rFonts w:hint="eastAsia" w:ascii="宋体" w:hAnsi="Times New Roman" w:eastAsia="宋体" w:cs="宋体"/>
          <w:color w:val="000000"/>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微软雅黑" w:hAnsi="微软雅黑" w:eastAsia="微软雅黑" w:cs="微软雅黑"/>
              <w:sz w:val="40"/>
              <w:szCs w:val="40"/>
            </w:rPr>
          </w:pPr>
          <w:r>
            <w:rPr>
              <w:rFonts w:hint="eastAsia" w:ascii="微软雅黑" w:hAnsi="微软雅黑" w:eastAsia="微软雅黑" w:cs="微软雅黑"/>
              <w:sz w:val="40"/>
              <w:szCs w:val="40"/>
            </w:rPr>
            <w:t>目录</w:t>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fldChar w:fldCharType="begin"/>
          </w:r>
          <w:r>
            <w:instrText xml:space="preserve">TOC \o "1-3" \h \u </w:instrText>
          </w:r>
          <w:r>
            <w:fldChar w:fldCharType="separate"/>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_Toc7177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一、 前言</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_Toc7177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_Toc8656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1.1发送节点：</w:t>
          </w:r>
          <w:r>
            <w:rPr>
              <w:rFonts w:hint="eastAsia" w:ascii="微软雅黑" w:hAnsi="微软雅黑" w:eastAsia="微软雅黑" w:cs="微软雅黑"/>
              <w:sz w:val="24"/>
              <w:szCs w:val="24"/>
            </w:rPr>
            <w:t>（✭为控标参数）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_Toc8656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_Toc14570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1.2接收节点：</w:t>
          </w:r>
          <w:r>
            <w:rPr>
              <w:rFonts w:hint="eastAsia" w:ascii="微软雅黑" w:hAnsi="微软雅黑" w:eastAsia="微软雅黑" w:cs="微软雅黑"/>
              <w:sz w:val="24"/>
              <w:szCs w:val="24"/>
            </w:rPr>
            <w:t>（✭为控标参数）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_Toc14570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_Toc8250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二、 产品参数</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_Toc8250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_Toc6062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三、包装内容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_Toc6062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_Toc22453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sz w:val="24"/>
              <w:szCs w:val="24"/>
            </w:rPr>
            <w:t>四、产品前后面板介绍</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_Toc22453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_Toc16478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sz w:val="24"/>
              <w:szCs w:val="24"/>
            </w:rPr>
            <w:t>五、产品规格</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_Toc16478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11</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2"/>
          </w:pPr>
          <w:r>
            <w:fldChar w:fldCharType="end"/>
          </w:r>
        </w:p>
      </w:sdtContent>
    </w:sdt>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numPr>
          <w:ilvl w:val="0"/>
          <w:numId w:val="1"/>
        </w:numPr>
        <w:spacing w:line="260" w:lineRule="atLeast"/>
        <w:jc w:val="left"/>
        <w:outlineLvl w:val="0"/>
        <w:rPr>
          <w:rFonts w:hint="eastAsia" w:ascii="微软雅黑" w:hAnsi="微软雅黑" w:eastAsia="微软雅黑" w:cs="微软雅黑"/>
          <w:b/>
          <w:bCs/>
          <w:kern w:val="2"/>
          <w:sz w:val="36"/>
          <w:szCs w:val="36"/>
          <w:lang w:val="en-US" w:eastAsia="zh-CN" w:bidi="ar-SA"/>
        </w:rPr>
      </w:pPr>
      <w:bookmarkStart w:id="1" w:name="_Toc32462"/>
      <w:bookmarkStart w:id="2" w:name="_Toc7177"/>
      <w:r>
        <w:rPr>
          <w:rFonts w:hint="eastAsia" w:ascii="微软雅黑" w:hAnsi="微软雅黑" w:eastAsia="微软雅黑" w:cs="微软雅黑"/>
          <w:b/>
          <w:bCs/>
          <w:kern w:val="2"/>
          <w:sz w:val="36"/>
          <w:szCs w:val="36"/>
          <w:lang w:val="en-US" w:eastAsia="zh-CN" w:bidi="ar-SA"/>
        </w:rPr>
        <w:t>前言</w:t>
      </w:r>
      <w:bookmarkEnd w:id="1"/>
      <w:bookmarkEnd w:id="2"/>
    </w:p>
    <w:p>
      <w:pPr>
        <w:ind w:firstLine="480" w:firstLineChars="200"/>
        <w:jc w:val="left"/>
        <w:outlineLvl w:val="9"/>
        <w:rPr>
          <w:rFonts w:hint="eastAsia" w:ascii="微软雅黑" w:hAnsi="微软雅黑" w:eastAsia="微软雅黑" w:cstheme="minorBidi"/>
          <w:kern w:val="0"/>
          <w:sz w:val="24"/>
          <w:szCs w:val="24"/>
          <w:lang w:val="en-US" w:eastAsia="zh-CN" w:bidi="ar-SA"/>
        </w:rPr>
      </w:pPr>
      <w:r>
        <w:rPr>
          <w:rFonts w:hint="eastAsia" w:ascii="微软雅黑" w:hAnsi="微软雅黑" w:eastAsia="微软雅黑" w:cstheme="minorBidi"/>
          <w:kern w:val="0"/>
          <w:sz w:val="24"/>
          <w:szCs w:val="24"/>
          <w:lang w:val="en-US" w:eastAsia="zh-CN" w:bidi="ar-SA"/>
        </w:rPr>
        <w:t>输入输出接口机是目前最好画质的4K分布式系统，利用10GbE以太网技术实现视频、音频、以太网和其他控制信号进行矩阵切换、画面拼接功能。分辨率达4096x2160@60HZ 4：4：4 ,HDR，提供无与伦比的图像画质，无画面延迟、无压缩、无伪影。硬件搭配软件平台，具有可扩展性、多功能性，支持各种不同的应用，包括点对点扩展、矩阵无缝切换、视频墙显示。分布式硬件接口机包含发射机和接收机，为了获得更好的灵活性，多种信号包括视频、IR等都可以特殊编码经10GbE交换机路由到任何接收机。</w:t>
      </w:r>
    </w:p>
    <w:p>
      <w:pPr>
        <w:keepNext w:val="0"/>
        <w:keepLines w:val="0"/>
        <w:pageBreakBefore w:val="0"/>
        <w:widowControl w:val="0"/>
        <w:kinsoku/>
        <w:wordWrap/>
        <w:overflowPunct/>
        <w:topLinePunct w:val="0"/>
        <w:autoSpaceDE/>
        <w:autoSpaceDN/>
        <w:bidi w:val="0"/>
        <w:adjustRightInd/>
        <w:snapToGrid/>
        <w:spacing w:before="313" w:beforeLines="100" w:line="276" w:lineRule="auto"/>
        <w:textAlignment w:val="auto"/>
        <w:outlineLvl w:val="1"/>
        <w:rPr>
          <w:rFonts w:hint="eastAsia" w:ascii="微软雅黑" w:hAnsi="微软雅黑" w:eastAsia="微软雅黑" w:cs="微软雅黑"/>
          <w:b/>
          <w:bCs/>
          <w:kern w:val="2"/>
          <w:sz w:val="36"/>
          <w:szCs w:val="36"/>
          <w:lang w:val="en-US" w:eastAsia="zh-CN" w:bidi="ar-SA"/>
        </w:rPr>
      </w:pPr>
      <w:bookmarkStart w:id="3" w:name="_Toc8656"/>
      <w:r>
        <w:rPr>
          <w:rFonts w:hint="eastAsia" w:ascii="微软雅黑" w:hAnsi="微软雅黑" w:eastAsia="微软雅黑" w:cs="微软雅黑"/>
          <w:b/>
          <w:bCs/>
          <w:kern w:val="2"/>
          <w:sz w:val="30"/>
          <w:szCs w:val="30"/>
          <w:lang w:val="en-US" w:eastAsia="zh-CN" w:bidi="ar-SA"/>
        </w:rPr>
        <w:t>1.1发送节点</w:t>
      </w:r>
      <w:r>
        <w:rPr>
          <w:rFonts w:hint="eastAsia" w:ascii="微软雅黑" w:hAnsi="微软雅黑" w:eastAsia="微软雅黑" w:cs="微软雅黑"/>
          <w:b/>
          <w:bCs/>
          <w:kern w:val="2"/>
          <w:sz w:val="36"/>
          <w:szCs w:val="36"/>
          <w:lang w:val="en-US" w:eastAsia="zh-CN" w:bidi="ar-SA"/>
        </w:rPr>
        <w:t>：</w:t>
      </w:r>
      <w:r>
        <w:rPr>
          <w:rFonts w:hint="eastAsia" w:ascii="微软雅黑" w:hAnsi="微软雅黑" w:eastAsia="微软雅黑"/>
          <w:b/>
          <w:sz w:val="24"/>
          <w:szCs w:val="24"/>
        </w:rPr>
        <w:t>（</w:t>
      </w:r>
      <w:r>
        <w:rPr>
          <w:rFonts w:hint="eastAsia" w:ascii="微软雅黑" w:hAnsi="MS Mincho" w:eastAsia="MS Mincho" w:cs="MS Mincho"/>
          <w:sz w:val="24"/>
          <w:szCs w:val="24"/>
        </w:rPr>
        <w:t>✭</w:t>
      </w:r>
      <w:r>
        <w:rPr>
          <w:rFonts w:hint="eastAsia" w:ascii="微软雅黑" w:hAnsi="微软雅黑" w:eastAsia="微软雅黑" w:cs="宋体"/>
          <w:sz w:val="24"/>
          <w:szCs w:val="24"/>
        </w:rPr>
        <w:t>为控标参数</w:t>
      </w:r>
      <w:r>
        <w:rPr>
          <w:rFonts w:hint="eastAsia" w:ascii="微软雅黑" w:hAnsi="微软雅黑" w:eastAsia="微软雅黑"/>
          <w:b/>
          <w:sz w:val="24"/>
          <w:szCs w:val="24"/>
        </w:rPr>
        <w:t>）</w:t>
      </w:r>
      <w:bookmarkEnd w:id="3"/>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MS Mincho" w:eastAsia="MS Mincho" w:cs="MS Mincho"/>
          <w:sz w:val="24"/>
          <w:szCs w:val="24"/>
        </w:rPr>
        <w:t>✭</w:t>
      </w:r>
      <w:r>
        <w:rPr>
          <w:rFonts w:ascii="微软雅黑" w:hAnsi="微软雅黑" w:eastAsia="微软雅黑"/>
          <w:sz w:val="24"/>
          <w:szCs w:val="24"/>
        </w:rPr>
        <w:t xml:space="preserve"> </w:t>
      </w:r>
      <w:r>
        <w:rPr>
          <w:rFonts w:hint="eastAsia" w:ascii="微软雅黑" w:hAnsi="微软雅黑" w:eastAsia="微软雅黑" w:cstheme="minorBidi"/>
          <w:sz w:val="24"/>
          <w:szCs w:val="24"/>
          <w:lang w:val="en-US" w:eastAsia="zh-CN" w:bidi="ar-SA"/>
        </w:rPr>
        <w:t>支持4096x2160@60HZ 4：4：4及HDR视频的无延时无压缩传输；</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支持HDMI2.0,HDCP2.2和HDCP1.4；</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支持EDID在线管理；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支持视频信号无缝切换功能，支持画面拼接功能；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支持外部音频加嵌和解钳；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外部音频矩阵切换功能；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HDMI音频矩阵切换功能；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支持外部音频和HDMI内嵌音频任意切换；</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支持USB2.0数据传输及USB矩阵功能；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支持双向红外传输及IR矩阵功能；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支持RS232双向传输及RS232矩阵功能；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支持高清辅流功能，辅流大小可根据主流大小自行设定。</w:t>
      </w:r>
    </w:p>
    <w:p>
      <w:pPr>
        <w:spacing w:line="276" w:lineRule="auto"/>
        <w:outlineLvl w:val="1"/>
        <w:rPr>
          <w:rFonts w:ascii="微软雅黑" w:hAnsi="微软雅黑" w:eastAsia="微软雅黑"/>
          <w:b/>
          <w:sz w:val="28"/>
          <w:szCs w:val="28"/>
        </w:rPr>
      </w:pPr>
      <w:bookmarkStart w:id="4" w:name="_Toc14570"/>
      <w:r>
        <w:rPr>
          <w:rFonts w:hint="eastAsia" w:ascii="微软雅黑" w:hAnsi="微软雅黑" w:eastAsia="微软雅黑" w:cs="微软雅黑"/>
          <w:b/>
          <w:bCs/>
          <w:kern w:val="2"/>
          <w:sz w:val="30"/>
          <w:szCs w:val="30"/>
          <w:lang w:val="en-US" w:eastAsia="zh-CN" w:bidi="ar-SA"/>
        </w:rPr>
        <w:t>1.2接收节点：</w:t>
      </w:r>
      <w:r>
        <w:rPr>
          <w:rFonts w:hint="eastAsia" w:ascii="微软雅黑" w:hAnsi="微软雅黑" w:eastAsia="微软雅黑"/>
          <w:b/>
          <w:sz w:val="24"/>
          <w:szCs w:val="24"/>
        </w:rPr>
        <w:t>（</w:t>
      </w:r>
      <w:r>
        <w:rPr>
          <w:rFonts w:hint="eastAsia" w:ascii="微软雅黑" w:hAnsi="MS Mincho" w:eastAsia="MS Mincho" w:cs="MS Mincho"/>
          <w:sz w:val="24"/>
          <w:szCs w:val="24"/>
        </w:rPr>
        <w:t>✭</w:t>
      </w:r>
      <w:r>
        <w:rPr>
          <w:rFonts w:hint="eastAsia" w:ascii="微软雅黑" w:hAnsi="微软雅黑" w:eastAsia="微软雅黑" w:cs="宋体"/>
          <w:sz w:val="24"/>
          <w:szCs w:val="24"/>
        </w:rPr>
        <w:t>为控标参数</w:t>
      </w:r>
      <w:r>
        <w:rPr>
          <w:rFonts w:hint="eastAsia" w:ascii="微软雅黑" w:hAnsi="微软雅黑" w:eastAsia="微软雅黑"/>
          <w:b/>
          <w:sz w:val="24"/>
          <w:szCs w:val="24"/>
        </w:rPr>
        <w:t>）</w:t>
      </w:r>
      <w:bookmarkEnd w:id="4"/>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支持4096x2160@60HZ 4：4：4及HDR视频的无延时无压缩传输；</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支持HDMI2.0,HDCP2.2和HDCP1.4；</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支持EDID在线管理；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支持视频信号无缝切换功能，支持画面拼接功能；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支持外部音频加嵌和解钳；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外部音频矩阵切换功能；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HDMI音频矩阵切换功能；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支持外部音频和HDMI内嵌音频任意切换；</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支持USB2.0数据传输及USB矩阵功能；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支持双向红外传输及IR矩阵功能；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 支持RS232双向传输及RS232矩阵功能；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lang w:val="en-US" w:eastAsia="zh-CN"/>
        </w:rPr>
      </w:pPr>
      <w:r>
        <w:rPr>
          <w:rFonts w:hint="eastAsia" w:ascii="微软雅黑" w:hAnsi="微软雅黑" w:eastAsia="微软雅黑" w:cstheme="minorBidi"/>
          <w:sz w:val="24"/>
          <w:szCs w:val="24"/>
          <w:lang w:val="en-US" w:eastAsia="zh-CN" w:bidi="ar-SA"/>
        </w:rPr>
        <w:t>✭ 单屏最大支持32个分割画面。</w:t>
      </w:r>
    </w:p>
    <w:p>
      <w:pPr>
        <w:pStyle w:val="3"/>
        <w:keepNext/>
        <w:keepLines/>
        <w:pageBreakBefore w:val="0"/>
        <w:widowControl w:val="0"/>
        <w:numPr>
          <w:ilvl w:val="0"/>
          <w:numId w:val="3"/>
        </w:numPr>
        <w:kinsoku/>
        <w:wordWrap/>
        <w:overflowPunct/>
        <w:topLinePunct w:val="0"/>
        <w:autoSpaceDE/>
        <w:autoSpaceDN/>
        <w:bidi w:val="0"/>
        <w:adjustRightInd/>
        <w:snapToGrid/>
        <w:spacing w:before="313" w:beforeLines="100" w:after="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5" w:name="_Toc24201"/>
      <w:bookmarkStart w:id="6" w:name="_Toc8250"/>
      <w:r>
        <w:rPr>
          <w:rFonts w:hint="eastAsia" w:ascii="微软雅黑" w:hAnsi="微软雅黑" w:eastAsia="微软雅黑" w:cs="微软雅黑"/>
          <w:b/>
          <w:bCs/>
          <w:kern w:val="2"/>
          <w:sz w:val="36"/>
          <w:szCs w:val="36"/>
          <w:lang w:val="en-US" w:eastAsia="zh-CN" w:bidi="ar-SA"/>
        </w:rPr>
        <w:t>产品参数</w:t>
      </w:r>
      <w:bookmarkEnd w:id="5"/>
      <w:bookmarkEnd w:id="6"/>
    </w:p>
    <w:tbl>
      <w:tblPr>
        <w:tblStyle w:val="15"/>
        <w:tblpPr w:leftFromText="180" w:rightFromText="180" w:vertAnchor="text" w:horzAnchor="page" w:tblpXSpec="center" w:tblpY="328"/>
        <w:tblOverlap w:val="never"/>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7" w:name="_Toc12962"/>
            <w:r>
              <w:rPr>
                <w:rFonts w:hint="eastAsia" w:ascii="微软雅黑" w:hAnsi="微软雅黑" w:eastAsia="微软雅黑" w:cs="微软雅黑"/>
                <w:sz w:val="24"/>
                <w:szCs w:val="24"/>
              </w:rPr>
              <w:t>视频输</w:t>
            </w:r>
            <w:r>
              <w:rPr>
                <w:rFonts w:hint="eastAsia" w:ascii="微软雅黑" w:hAnsi="微软雅黑" w:eastAsia="微软雅黑" w:cs="微软雅黑"/>
                <w:sz w:val="24"/>
                <w:szCs w:val="24"/>
                <w:lang w:val="en-US" w:eastAsia="zh-CN"/>
              </w:rPr>
              <w:t>入</w:t>
            </w:r>
            <w:r>
              <w:rPr>
                <w:rFonts w:hint="eastAsia" w:ascii="微软雅黑" w:hAnsi="微软雅黑" w:eastAsia="微软雅黑" w:cs="微软雅黑"/>
                <w:sz w:val="24"/>
                <w:szCs w:val="24"/>
              </w:rPr>
              <w:t>接口</w:t>
            </w:r>
            <w:bookmarkEnd w:id="7"/>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8" w:name="_Toc30678"/>
            <w:r>
              <w:rPr>
                <w:rFonts w:hint="eastAsia" w:ascii="微软雅黑" w:hAnsi="微软雅黑" w:eastAsia="微软雅黑" w:cs="微软雅黑"/>
                <w:sz w:val="24"/>
                <w:szCs w:val="24"/>
              </w:rPr>
              <w:t>1*HDMI</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9" w:name="_Toc29349"/>
            <w:r>
              <w:rPr>
                <w:rFonts w:hint="eastAsia" w:ascii="微软雅黑" w:hAnsi="微软雅黑" w:eastAsia="微软雅黑" w:cs="微软雅黑"/>
                <w:sz w:val="24"/>
                <w:szCs w:val="24"/>
              </w:rPr>
              <w:t>视频输出接口</w:t>
            </w:r>
            <w:bookmarkEnd w:id="9"/>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0" w:name="_Toc9190"/>
            <w:r>
              <w:rPr>
                <w:rFonts w:hint="eastAsia" w:ascii="微软雅黑" w:hAnsi="微软雅黑" w:eastAsia="微软雅黑" w:cs="微软雅黑"/>
                <w:sz w:val="24"/>
                <w:szCs w:val="24"/>
              </w:rPr>
              <w:t>1*HDMI</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11" w:name="_Toc26696"/>
            <w:r>
              <w:rPr>
                <w:rFonts w:hint="eastAsia" w:ascii="微软雅黑" w:hAnsi="微软雅黑" w:eastAsia="微软雅黑" w:cs="微软雅黑"/>
                <w:sz w:val="24"/>
                <w:szCs w:val="24"/>
              </w:rPr>
              <w:t>输入分辨率</w:t>
            </w:r>
            <w:bookmarkEnd w:id="11"/>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2" w:name="_Toc6940"/>
            <w:r>
              <w:rPr>
                <w:rFonts w:hint="eastAsia" w:ascii="微软雅黑" w:hAnsi="微软雅黑" w:eastAsia="微软雅黑" w:cs="微软雅黑"/>
                <w:sz w:val="24"/>
                <w:szCs w:val="24"/>
              </w:rPr>
              <w:t>4096*2160@60HZ</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13" w:name="_Toc10595"/>
            <w:r>
              <w:rPr>
                <w:rFonts w:hint="eastAsia" w:ascii="微软雅黑" w:hAnsi="微软雅黑" w:eastAsia="微软雅黑" w:cs="微软雅黑"/>
                <w:sz w:val="24"/>
                <w:szCs w:val="24"/>
              </w:rPr>
              <w:t>输出分辨率</w:t>
            </w:r>
            <w:bookmarkEnd w:id="13"/>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4" w:name="_Toc22073"/>
            <w:r>
              <w:rPr>
                <w:rFonts w:hint="eastAsia" w:ascii="微软雅黑" w:hAnsi="微软雅黑" w:eastAsia="微软雅黑" w:cs="微软雅黑"/>
                <w:sz w:val="24"/>
                <w:szCs w:val="24"/>
              </w:rPr>
              <w:t>4096*2160@60HZ</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15" w:name="_Toc9450"/>
            <w:r>
              <w:rPr>
                <w:rFonts w:hint="eastAsia" w:ascii="微软雅黑" w:hAnsi="微软雅黑" w:eastAsia="微软雅黑" w:cs="微软雅黑"/>
                <w:sz w:val="24"/>
                <w:szCs w:val="24"/>
              </w:rPr>
              <w:t>音频接口</w:t>
            </w:r>
            <w:bookmarkEnd w:id="15"/>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6" w:name="_Toc25769"/>
            <w:r>
              <w:rPr>
                <w:rFonts w:hint="eastAsia" w:ascii="微软雅黑" w:hAnsi="微软雅黑" w:eastAsia="微软雅黑" w:cs="微软雅黑"/>
                <w:sz w:val="24"/>
                <w:szCs w:val="24"/>
              </w:rPr>
              <w:t>3.5mm耳机接口</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17" w:name="_Toc24482"/>
            <w:r>
              <w:rPr>
                <w:rFonts w:hint="eastAsia" w:ascii="微软雅黑" w:hAnsi="微软雅黑" w:eastAsia="微软雅黑" w:cs="微软雅黑"/>
                <w:sz w:val="24"/>
                <w:szCs w:val="24"/>
              </w:rPr>
              <w:t>串口控制</w:t>
            </w:r>
            <w:bookmarkEnd w:id="17"/>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18" w:name="_Toc18184"/>
            <w:r>
              <w:rPr>
                <w:rFonts w:hint="eastAsia" w:ascii="微软雅黑" w:hAnsi="微软雅黑" w:eastAsia="微软雅黑" w:cs="微软雅黑"/>
                <w:sz w:val="24"/>
                <w:szCs w:val="24"/>
              </w:rPr>
              <w:t>RS232*1   IR*2</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19" w:name="_Toc13074"/>
            <w:r>
              <w:rPr>
                <w:rFonts w:hint="eastAsia" w:ascii="微软雅黑" w:hAnsi="微软雅黑" w:eastAsia="微软雅黑" w:cs="微软雅黑"/>
                <w:sz w:val="24"/>
                <w:szCs w:val="24"/>
              </w:rPr>
              <w:t>网络接口</w:t>
            </w:r>
            <w:bookmarkEnd w:id="19"/>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0" w:name="_Toc18094"/>
            <w:r>
              <w:rPr>
                <w:rFonts w:hint="eastAsia" w:ascii="微软雅黑" w:hAnsi="微软雅黑" w:eastAsia="微软雅黑" w:cs="微软雅黑"/>
                <w:sz w:val="24"/>
                <w:szCs w:val="24"/>
              </w:rPr>
              <w:t>RJ45/1G*1   SFP+*1</w:t>
            </w:r>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1" w:name="_Toc2399"/>
            <w:r>
              <w:rPr>
                <w:rFonts w:hint="eastAsia" w:ascii="微软雅黑" w:hAnsi="微软雅黑" w:eastAsia="微软雅黑" w:cs="微软雅黑"/>
                <w:sz w:val="24"/>
                <w:szCs w:val="24"/>
              </w:rPr>
              <w:t>功耗</w:t>
            </w:r>
            <w:bookmarkEnd w:id="21"/>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2" w:name="_Toc31410"/>
            <w:r>
              <w:rPr>
                <w:rFonts w:hint="eastAsia" w:ascii="微软雅黑" w:hAnsi="微软雅黑" w:eastAsia="微软雅黑" w:cs="微软雅黑"/>
                <w:sz w:val="24"/>
                <w:szCs w:val="24"/>
              </w:rPr>
              <w:t>≤10W</w:t>
            </w:r>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3" w:name="_Toc9402"/>
            <w:r>
              <w:rPr>
                <w:rFonts w:hint="eastAsia" w:ascii="微软雅黑" w:hAnsi="微软雅黑" w:eastAsia="微软雅黑" w:cs="微软雅黑"/>
                <w:sz w:val="24"/>
                <w:szCs w:val="24"/>
              </w:rPr>
              <w:t>视频信号延迟</w:t>
            </w:r>
            <w:bookmarkEnd w:id="23"/>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4" w:name="_Toc28171"/>
            <w:r>
              <w:rPr>
                <w:rFonts w:hint="eastAsia" w:ascii="微软雅黑" w:hAnsi="微软雅黑" w:eastAsia="微软雅黑" w:cs="微软雅黑"/>
                <w:sz w:val="24"/>
                <w:szCs w:val="24"/>
              </w:rPr>
              <w:t>&lt;1ms</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sz w:val="24"/>
                <w:szCs w:val="24"/>
              </w:rPr>
            </w:pPr>
            <w:bookmarkStart w:id="25" w:name="_Toc14214"/>
            <w:r>
              <w:rPr>
                <w:rFonts w:hint="eastAsia" w:ascii="微软雅黑" w:hAnsi="微软雅黑" w:eastAsia="微软雅黑" w:cs="微软雅黑"/>
                <w:sz w:val="24"/>
                <w:szCs w:val="24"/>
              </w:rPr>
              <w:t>尺寸</w:t>
            </w:r>
            <w:bookmarkEnd w:id="25"/>
          </w:p>
        </w:tc>
        <w:tc>
          <w:tcPr>
            <w:tcW w:w="5699" w:type="dxa"/>
            <w:noWrap w:val="0"/>
            <w:vAlign w:val="center"/>
          </w:tcPr>
          <w:p>
            <w:pPr>
              <w:keepNext w:val="0"/>
              <w:keepLines w:val="0"/>
              <w:pageBreakBefore w:val="0"/>
              <w:widowControl w:val="0"/>
              <w:kinsoku/>
              <w:wordWrap/>
              <w:overflowPunct/>
              <w:topLinePunct w:val="0"/>
              <w:autoSpaceDE/>
              <w:autoSpaceDN/>
              <w:bidi w:val="0"/>
              <w:adjustRightInd/>
              <w:snapToGrid w:val="0"/>
              <w:spacing w:line="260" w:lineRule="atLeast"/>
              <w:ind w:firstLine="480" w:firstLineChars="200"/>
              <w:jc w:val="both"/>
              <w:textAlignment w:val="auto"/>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6" w:name="_Toc14266"/>
            <w:r>
              <w:rPr>
                <w:rFonts w:hint="eastAsia" w:ascii="微软雅黑" w:hAnsi="微软雅黑" w:eastAsia="微软雅黑" w:cs="微软雅黑"/>
                <w:sz w:val="24"/>
                <w:szCs w:val="24"/>
              </w:rPr>
              <w:t>227mm*135mm*30mm</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05" w:type="dxa"/>
            <w:noWrap w:val="0"/>
            <w:vAlign w:val="center"/>
          </w:tcPr>
          <w:p>
            <w:pPr>
              <w:spacing w:before="9" w:line="260" w:lineRule="atLeast"/>
              <w:ind w:left="0" w:leftChars="0" w:right="0" w:rightChars="0" w:firstLine="480" w:firstLineChars="200"/>
              <w:jc w:val="both"/>
              <w:outlineLvl w:val="0"/>
              <w:rPr>
                <w:rFonts w:hint="eastAsia" w:ascii="微软雅黑" w:hAnsi="微软雅黑" w:eastAsia="微软雅黑" w:cs="微软雅黑"/>
                <w:sz w:val="24"/>
                <w:szCs w:val="24"/>
              </w:rPr>
            </w:pPr>
            <w:bookmarkStart w:id="27" w:name="_Toc31329"/>
            <w:r>
              <w:rPr>
                <w:rFonts w:hint="eastAsia" w:ascii="微软雅黑" w:hAnsi="微软雅黑" w:eastAsia="微软雅黑" w:cs="微软雅黑"/>
                <w:bCs/>
                <w:sz w:val="24"/>
                <w:szCs w:val="24"/>
              </w:rPr>
              <w:t>重量</w:t>
            </w:r>
            <w:bookmarkEnd w:id="27"/>
          </w:p>
        </w:tc>
        <w:tc>
          <w:tcPr>
            <w:tcW w:w="5699" w:type="dxa"/>
            <w:noWrap w:val="0"/>
            <w:vAlign w:val="center"/>
          </w:tcPr>
          <w:p>
            <w:pPr>
              <w:keepNext w:val="0"/>
              <w:keepLines w:val="0"/>
              <w:widowControl/>
              <w:suppressLineNumbers w:val="0"/>
              <w:spacing w:line="260" w:lineRule="atLeast"/>
              <w:ind w:firstLine="480" w:firstLineChars="200"/>
              <w:jc w:val="both"/>
              <w:outlineLvl w:val="0"/>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bookmarkStart w:id="28" w:name="_Toc7445"/>
            <w:r>
              <w:rPr>
                <w:rFonts w:hint="eastAsia" w:ascii="微软雅黑" w:hAnsi="微软雅黑" w:eastAsia="微软雅黑" w:cs="微软雅黑"/>
                <w:sz w:val="24"/>
                <w:szCs w:val="24"/>
              </w:rPr>
              <w:t>1.1KG</w:t>
            </w:r>
            <w:bookmarkEnd w:id="28"/>
          </w:p>
        </w:tc>
      </w:tr>
    </w:tbl>
    <w:p>
      <w:pPr>
        <w:numPr>
          <w:ilvl w:val="0"/>
          <w:numId w:val="0"/>
        </w:numPr>
        <w:rPr>
          <w:rFonts w:hint="default"/>
          <w:sz w:val="24"/>
          <w:szCs w:val="24"/>
          <w:lang w:val="en-US" w:eastAsia="zh-CN"/>
        </w:rPr>
      </w:pPr>
    </w:p>
    <w:p>
      <w:pPr>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2"/>
        <w:rPr>
          <w:rFonts w:hint="eastAsia" w:asciiTheme="minorHAnsi" w:hAnsiTheme="minorHAnsi" w:eastAsiaTheme="minorEastAsia" w:cstheme="minorBidi"/>
          <w:kern w:val="2"/>
          <w:sz w:val="21"/>
          <w:szCs w:val="22"/>
          <w:lang w:val="en-US" w:eastAsia="zh-CN" w:bidi="ar-SA"/>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bookmarkStart w:id="29" w:name="_Toc15428"/>
      <w:bookmarkStart w:id="30" w:name="_Toc6062"/>
      <w:r>
        <w:rPr>
          <w:rFonts w:hint="eastAsia" w:ascii="微软雅黑" w:hAnsi="微软雅黑" w:eastAsia="微软雅黑" w:cs="微软雅黑"/>
          <w:b/>
          <w:bCs/>
          <w:kern w:val="2"/>
          <w:sz w:val="36"/>
          <w:szCs w:val="36"/>
          <w:lang w:val="en-US" w:eastAsia="zh-CN" w:bidi="ar-SA"/>
        </w:rPr>
        <w:t>三、包装内容</w:t>
      </w:r>
      <w:bookmarkEnd w:id="29"/>
      <w:bookmarkEnd w:id="30"/>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电源适配器</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12V 2.5A DC桌插式，包装数量根据设备定制</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电源线</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包装数量根据电源适配器定制</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遥控器红外接收和发射</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默认包装各一个</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产品简介</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default" w:ascii="微软雅黑" w:hAnsi="微软雅黑" w:eastAsia="微软雅黑" w:cstheme="minorBidi"/>
          <w:sz w:val="24"/>
          <w:szCs w:val="24"/>
          <w:lang w:val="en-US" w:eastAsia="zh-CN" w:bidi="ar-SA"/>
        </w:rPr>
      </w:pPr>
      <w:r>
        <w:rPr>
          <w:rFonts w:hint="default" w:ascii="微软雅黑" w:hAnsi="微软雅黑" w:eastAsia="微软雅黑" w:cstheme="minorBidi"/>
          <w:sz w:val="24"/>
          <w:szCs w:val="24"/>
          <w:lang w:val="en-US" w:eastAsia="zh-CN" w:bidi="ar-SA"/>
        </w:rPr>
        <w:t>保修卡</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默认包装是一箱放置1张</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lang w:val="en-US" w:eastAsia="zh-CN"/>
        </w:rPr>
      </w:pPr>
      <w:r>
        <w:rPr>
          <w:rFonts w:hint="default" w:ascii="微软雅黑" w:hAnsi="微软雅黑" w:eastAsia="微软雅黑" w:cstheme="minorBidi"/>
          <w:sz w:val="24"/>
          <w:szCs w:val="24"/>
          <w:lang w:val="en-US" w:eastAsia="zh-CN" w:bidi="ar-SA"/>
        </w:rPr>
        <w:t>合格证</w:t>
      </w:r>
      <w:r>
        <w:rPr>
          <w:rFonts w:hint="eastAsia" w:ascii="微软雅黑" w:hAnsi="微软雅黑" w:eastAsia="微软雅黑" w:cstheme="minorBidi"/>
          <w:sz w:val="24"/>
          <w:szCs w:val="24"/>
          <w:lang w:val="en-US" w:eastAsia="zh-CN" w:bidi="ar-SA"/>
        </w:rPr>
        <w:t>：</w:t>
      </w:r>
      <w:r>
        <w:rPr>
          <w:rFonts w:hint="default" w:ascii="微软雅黑" w:hAnsi="微软雅黑" w:eastAsia="微软雅黑" w:cstheme="minorBidi"/>
          <w:sz w:val="24"/>
          <w:szCs w:val="24"/>
          <w:lang w:val="en-US" w:eastAsia="zh-CN" w:bidi="ar-SA"/>
        </w:rPr>
        <w:t>默认包装是一箱放置1张</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180" w:firstLineChars="50"/>
        <w:jc w:val="left"/>
        <w:textAlignment w:val="auto"/>
        <w:outlineLvl w:val="0"/>
        <w:rPr>
          <w:rFonts w:ascii="Arial" w:hAnsi="Arial" w:eastAsia="微软雅黑" w:cs="Arial"/>
          <w:b/>
          <w:bCs/>
          <w:sz w:val="36"/>
          <w:szCs w:val="36"/>
        </w:rPr>
      </w:pPr>
      <w:bookmarkStart w:id="31" w:name="_Toc22453"/>
      <w:r>
        <w:rPr>
          <w:rFonts w:hint="eastAsia" w:ascii="Arial" w:hAnsi="Arial" w:eastAsia="微软雅黑" w:cs="Arial"/>
          <w:b/>
          <w:bCs/>
          <w:sz w:val="36"/>
          <w:szCs w:val="36"/>
        </w:rPr>
        <w:t>四、产品前后面板介绍</w:t>
      </w:r>
      <w:bookmarkEnd w:id="31"/>
    </w:p>
    <w:p>
      <w:pPr>
        <w:ind w:firstLine="240" w:firstLineChars="100"/>
        <w:jc w:val="center"/>
        <w:rPr>
          <w:rFonts w:ascii="微软雅黑" w:hAnsi="微软雅黑" w:eastAsia="微软雅黑" w:cs="思源黑体 CN Heavy"/>
          <w:b/>
          <w:sz w:val="28"/>
          <w:szCs w:val="28"/>
        </w:rPr>
      </w:pPr>
      <w:bookmarkStart w:id="32" w:name="_Toc2280"/>
      <w:r>
        <w:rPr>
          <w:rFonts w:hint="eastAsia" w:ascii="微软雅黑" w:hAnsi="微软雅黑" w:eastAsia="微软雅黑" w:cs="思源黑体 CN Heavy"/>
          <w:b/>
          <w:sz w:val="24"/>
          <w:szCs w:val="24"/>
        </w:rPr>
        <w:t>DN-210-TXFU /DN-210-RXFU　</w:t>
      </w:r>
      <w:r>
        <w:rPr>
          <w:rFonts w:ascii="微软雅黑" w:hAnsi="微软雅黑" w:eastAsia="微软雅黑"/>
          <w:b/>
          <w:sz w:val="24"/>
          <w:szCs w:val="24"/>
        </w:rPr>
        <w:t>前面板</w:t>
      </w:r>
      <w:r>
        <w:rPr>
          <w:b/>
          <w:sz w:val="20"/>
          <w:szCs w:val="20"/>
        </w:rPr>
        <w:drawing>
          <wp:inline distT="0" distB="0" distL="0" distR="0">
            <wp:extent cx="4608830" cy="1691640"/>
            <wp:effectExtent l="0" t="0" r="1270" b="3810"/>
            <wp:docPr id="4" name="图片 3" descr="前面编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前面编号.jpg"/>
                    <pic:cNvPicPr>
                      <a:picLocks noChangeAspect="1"/>
                    </pic:cNvPicPr>
                  </pic:nvPicPr>
                  <pic:blipFill>
                    <a:blip r:embed="rId6" cstate="print"/>
                    <a:stretch>
                      <a:fillRect/>
                    </a:stretch>
                  </pic:blipFill>
                  <pic:spPr>
                    <a:xfrm>
                      <a:off x="0" y="0"/>
                      <a:ext cx="4610381" cy="1692113"/>
                    </a:xfrm>
                    <a:prstGeom prst="rect">
                      <a:avLst/>
                    </a:prstGeom>
                  </pic:spPr>
                </pic:pic>
              </a:graphicData>
            </a:graphic>
          </wp:inline>
        </w:drawing>
      </w:r>
    </w:p>
    <w:tbl>
      <w:tblPr>
        <w:tblStyle w:val="1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72"/>
        <w:gridCol w:w="7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9"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序号</w:t>
            </w:r>
          </w:p>
        </w:tc>
        <w:tc>
          <w:tcPr>
            <w:tcW w:w="1772"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名称</w:t>
            </w:r>
          </w:p>
        </w:tc>
        <w:tc>
          <w:tcPr>
            <w:tcW w:w="7045" w:type="dxa"/>
            <w:shd w:val="clear" w:color="auto" w:fill="BEBEBE" w:themeFill="background1" w:themeFillShade="BF"/>
            <w:vAlign w:val="center"/>
          </w:tcPr>
          <w:p>
            <w:pPr>
              <w:jc w:val="center"/>
              <w:rPr>
                <w:rFonts w:ascii="微软雅黑" w:hAnsi="微软雅黑" w:eastAsia="微软雅黑"/>
                <w:b/>
                <w:sz w:val="24"/>
                <w:szCs w:val="24"/>
              </w:rPr>
            </w:pPr>
            <w:r>
              <w:rPr>
                <w:rFonts w:hint="eastAsia" w:ascii="微软雅黑" w:hAnsi="微软雅黑" w:eastAsia="微软雅黑"/>
                <w:b/>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01</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FACTORY RESET</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机子恢复出厂设置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STATUS</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机子进入开机状态；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03</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VIDEO IN</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灯长亮检测到稳定的视频信号；灯不亮没有检测到稳定的视频信号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04</w:t>
            </w:r>
          </w:p>
        </w:tc>
        <w:tc>
          <w:tcPr>
            <w:tcW w:w="1772"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VIDEO OUT</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灯长亮检测到显示设备连接；灯不亮没有检测到显示设备连接。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05</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LINK TX</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灯闪烁：设备正在发送以太网数据； 灯不亮：设备不发送以太网数据；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06</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LINK RX</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灯闪烁：该设备正在接收以太网数据并处理视频信号；</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灯不亮：该设备不接收以太网数据也不处理视频信号；</w:t>
            </w:r>
          </w:p>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灯长亮：设备正在处理视频信号但不接收以太网数据；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07</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2.0PRESENT</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USB2.0当下连接状态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08</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2.0ACTIVITY</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USB2.0数据传输状态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09</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HID ACTIVITY</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HID USB连接状态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HOST</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USB接口，TX连接电脑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USB2.0</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RX单元USB2.0键盘/鼠标端口、U盘等移动存储设备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ascii="微软雅黑" w:hAnsi="微软雅黑" w:eastAsia="微软雅黑"/>
                <w:sz w:val="22"/>
              </w:rPr>
            </w:pPr>
            <w:r>
              <w:rPr>
                <w:rFonts w:hint="eastAsia" w:ascii="微软雅黑" w:hAnsi="微软雅黑" w:eastAsia="微软雅黑"/>
                <w:sz w:val="22"/>
              </w:rPr>
              <w:t>12</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USB1</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RX连接键盘、鼠标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09" w:type="dxa"/>
            <w:vAlign w:val="center"/>
          </w:tcPr>
          <w:p>
            <w:pPr>
              <w:jc w:val="center"/>
              <w:rPr>
                <w:rFonts w:ascii="微软雅黑" w:hAnsi="微软雅黑" w:eastAsia="微软雅黑"/>
                <w:sz w:val="22"/>
              </w:rPr>
            </w:pPr>
            <w:r>
              <w:rPr>
                <w:rFonts w:hint="eastAsia" w:ascii="微软雅黑" w:hAnsi="微软雅黑" w:eastAsia="微软雅黑"/>
                <w:sz w:val="22"/>
              </w:rPr>
              <w:t>13</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USB2</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RX连接键盘、鼠标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09" w:type="dxa"/>
            <w:vAlign w:val="center"/>
          </w:tcPr>
          <w:p>
            <w:pPr>
              <w:jc w:val="center"/>
              <w:rPr>
                <w:rFonts w:ascii="微软雅黑" w:hAnsi="微软雅黑" w:eastAsia="微软雅黑"/>
                <w:sz w:val="22"/>
              </w:rPr>
            </w:pPr>
            <w:r>
              <w:rPr>
                <w:rFonts w:hint="eastAsia" w:ascii="微软雅黑" w:hAnsi="微软雅黑" w:eastAsia="微软雅黑"/>
                <w:sz w:val="22"/>
              </w:rPr>
              <w:t>14</w:t>
            </w:r>
          </w:p>
        </w:tc>
        <w:tc>
          <w:tcPr>
            <w:tcW w:w="1772"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RS-232</w:t>
            </w:r>
          </w:p>
        </w:tc>
        <w:tc>
          <w:tcPr>
            <w:tcW w:w="7045"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将此端口连接到RS-232设备，作为双向串行通讯，计算机与连接的RS-232 设备进行通信到另一台机子上；</w:t>
            </w:r>
          </w:p>
        </w:tc>
      </w:tr>
    </w:tbl>
    <w:p>
      <w:pPr>
        <w:spacing w:before="66"/>
        <w:ind w:firstLine="480" w:firstLineChars="200"/>
        <w:rPr>
          <w:rFonts w:ascii="微软雅黑" w:hAnsi="微软雅黑" w:eastAsia="微软雅黑"/>
          <w:b/>
          <w:sz w:val="24"/>
          <w:szCs w:val="24"/>
        </w:rPr>
      </w:pPr>
    </w:p>
    <w:p>
      <w:pPr>
        <w:spacing w:before="66"/>
        <w:ind w:firstLine="480" w:firstLineChars="200"/>
        <w:rPr>
          <w:rFonts w:ascii="微软雅黑" w:hAnsi="微软雅黑" w:eastAsia="微软雅黑"/>
          <w:b/>
          <w:sz w:val="24"/>
          <w:szCs w:val="24"/>
        </w:rPr>
      </w:pPr>
      <w:r>
        <w:rPr>
          <w:rFonts w:hint="eastAsia" w:ascii="微软雅黑" w:hAnsi="微软雅黑" w:eastAsia="微软雅黑" w:cs="思源黑体 CN Heavy"/>
          <w:b/>
          <w:sz w:val="24"/>
          <w:szCs w:val="24"/>
        </w:rPr>
        <w:t>DN-210-TXFU /DN-210-RXFU　</w:t>
      </w:r>
      <w:r>
        <w:rPr>
          <w:rFonts w:hint="eastAsia" w:ascii="微软雅黑" w:hAnsi="微软雅黑" w:eastAsia="微软雅黑"/>
          <w:b/>
          <w:sz w:val="24"/>
          <w:szCs w:val="24"/>
        </w:rPr>
        <w:t>后</w:t>
      </w:r>
      <w:r>
        <w:rPr>
          <w:rFonts w:ascii="微软雅黑" w:hAnsi="微软雅黑" w:eastAsia="微软雅黑"/>
          <w:b/>
          <w:sz w:val="24"/>
          <w:szCs w:val="24"/>
        </w:rPr>
        <w:t>面板</w:t>
      </w:r>
    </w:p>
    <w:p>
      <w:pPr>
        <w:spacing w:before="66"/>
        <w:jc w:val="center"/>
        <w:rPr>
          <w:rFonts w:ascii="微软雅黑" w:hAnsi="微软雅黑" w:eastAsia="微软雅黑"/>
          <w:b/>
          <w:sz w:val="24"/>
          <w:szCs w:val="24"/>
        </w:rPr>
      </w:pPr>
      <w:r>
        <w:rPr>
          <w:rFonts w:ascii="微软雅黑" w:hAnsi="微软雅黑" w:eastAsia="微软雅黑"/>
          <w:b/>
          <w:sz w:val="24"/>
          <w:szCs w:val="24"/>
        </w:rPr>
        <w:drawing>
          <wp:inline distT="0" distB="0" distL="0" distR="0">
            <wp:extent cx="4583430" cy="1687830"/>
            <wp:effectExtent l="0" t="0" r="7620" b="7620"/>
            <wp:docPr id="5" name="图片 4" descr="后面编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后面编号.jpg"/>
                    <pic:cNvPicPr>
                      <a:picLocks noChangeAspect="1"/>
                    </pic:cNvPicPr>
                  </pic:nvPicPr>
                  <pic:blipFill>
                    <a:blip r:embed="rId7" cstate="print"/>
                    <a:stretch>
                      <a:fillRect/>
                    </a:stretch>
                  </pic:blipFill>
                  <pic:spPr>
                    <a:xfrm>
                      <a:off x="0" y="0"/>
                      <a:ext cx="4605856" cy="1696595"/>
                    </a:xfrm>
                    <a:prstGeom prst="rect">
                      <a:avLst/>
                    </a:prstGeom>
                  </pic:spPr>
                </pic:pic>
              </a:graphicData>
            </a:graphic>
          </wp:inline>
        </w:drawing>
      </w:r>
    </w:p>
    <w:tbl>
      <w:tblPr>
        <w:tblStyle w:val="15"/>
        <w:tblW w:w="9304" w:type="dxa"/>
        <w:tblInd w:w="20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7"/>
        <w:gridCol w:w="1309"/>
        <w:gridCol w:w="73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657" w:type="dxa"/>
            <w:tcBorders>
              <w:bottom w:val="single" w:color="000000" w:sz="4" w:space="0"/>
            </w:tcBorders>
            <w:shd w:val="clear" w:color="auto" w:fill="B1B1B1"/>
            <w:vAlign w:val="center"/>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序号</w:t>
            </w:r>
          </w:p>
        </w:tc>
        <w:tc>
          <w:tcPr>
            <w:tcW w:w="1309" w:type="dxa"/>
            <w:tcBorders>
              <w:bottom w:val="single" w:color="000000" w:sz="4" w:space="0"/>
            </w:tcBorders>
            <w:shd w:val="clear" w:color="auto" w:fill="B1B1B1"/>
            <w:vAlign w:val="center"/>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名称</w:t>
            </w:r>
          </w:p>
        </w:tc>
        <w:tc>
          <w:tcPr>
            <w:tcW w:w="7338" w:type="dxa"/>
            <w:tcBorders>
              <w:bottom w:val="single" w:color="000000" w:sz="4" w:space="0"/>
            </w:tcBorders>
            <w:shd w:val="clear" w:color="auto" w:fill="B1B1B1"/>
            <w:vAlign w:val="center"/>
          </w:tcPr>
          <w:p>
            <w:pPr>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657" w:type="dxa"/>
            <w:tcBorders>
              <w:top w:val="single" w:color="000000" w:sz="4" w:space="0"/>
            </w:tcBorders>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01</w:t>
            </w:r>
          </w:p>
        </w:tc>
        <w:tc>
          <w:tcPr>
            <w:tcW w:w="1309" w:type="dxa"/>
            <w:tcBorders>
              <w:top w:val="single" w:color="000000" w:sz="4" w:space="0"/>
            </w:tcBorders>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DC 12V</w:t>
            </w:r>
          </w:p>
        </w:tc>
        <w:tc>
          <w:tcPr>
            <w:tcW w:w="7338" w:type="dxa"/>
            <w:tcBorders>
              <w:top w:val="single" w:color="000000" w:sz="4" w:space="0"/>
            </w:tcBorders>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直流电源DC 12V 2.5A输入；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657"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02</w:t>
            </w:r>
          </w:p>
        </w:tc>
        <w:tc>
          <w:tcPr>
            <w:tcW w:w="1309"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HDMI IN</w:t>
            </w:r>
          </w:p>
        </w:tc>
        <w:tc>
          <w:tcPr>
            <w:tcW w:w="7338"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将此端口连接到HDMI信号源输入设备，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9" w:hRule="atLeast"/>
        </w:trPr>
        <w:tc>
          <w:tcPr>
            <w:tcW w:w="657"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03</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 xml:space="preserve">HDMI </w:t>
            </w:r>
            <w:r>
              <w:rPr>
                <w:rFonts w:hint="eastAsia" w:ascii="微软雅黑" w:hAnsi="微软雅黑" w:eastAsia="微软雅黑" w:cs="微软雅黑"/>
                <w:sz w:val="24"/>
                <w:szCs w:val="24"/>
                <w:lang w:val="en-US"/>
              </w:rPr>
              <w:t>OUT</w:t>
            </w: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rPr>
              <w:t>将此端口连接到HDMI信号源输出设备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657"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04</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rPr>
              <w:t xml:space="preserve">10G </w:t>
            </w:r>
            <w:r>
              <w:rPr>
                <w:rFonts w:hint="eastAsia" w:ascii="微软雅黑" w:hAnsi="微软雅黑" w:eastAsia="微软雅黑" w:cs="微软雅黑"/>
                <w:sz w:val="24"/>
                <w:szCs w:val="24"/>
                <w:lang w:val="en-US"/>
              </w:rPr>
              <w:t>FIBER</w:t>
            </w: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光纤模块插入口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657"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05</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1G LAN</w:t>
            </w: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所有Tx与Rx单元均内置1GbE以太网交换机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0" w:hRule="atLeast"/>
        </w:trPr>
        <w:tc>
          <w:tcPr>
            <w:tcW w:w="657"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06</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IR IN</w:t>
            </w: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红外输入：将此端口连接到红外接收器，与网络上另一台DN-210系列设备的红外发射器进行红外通信；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6" w:hRule="atLeast"/>
        </w:trPr>
        <w:tc>
          <w:tcPr>
            <w:tcW w:w="657"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07</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IR OUT</w:t>
            </w: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红外输出：将此端口连接到红外发射器，与网络上另一台DN-210系列设备的红外接收器进行红外通信；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0" w:hRule="exact"/>
        </w:trPr>
        <w:tc>
          <w:tcPr>
            <w:tcW w:w="657" w:type="dxa"/>
            <w:vAlign w:val="center"/>
          </w:tcPr>
          <w:p>
            <w:pPr>
              <w:jc w:val="center"/>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08</w:t>
            </w:r>
          </w:p>
        </w:tc>
        <w:tc>
          <w:tcPr>
            <w:tcW w:w="1309" w:type="dxa"/>
            <w:vAlign w:val="center"/>
          </w:tcPr>
          <w:p>
            <w:pPr>
              <w:jc w:val="both"/>
              <w:rPr>
                <w:rFonts w:hint="eastAsia" w:ascii="微软雅黑" w:hAnsi="微软雅黑" w:eastAsia="微软雅黑" w:cs="微软雅黑"/>
                <w:sz w:val="24"/>
                <w:szCs w:val="24"/>
                <w:lang w:val="en-US"/>
              </w:rPr>
            </w:pPr>
            <w:r>
              <w:rPr>
                <w:rFonts w:hint="eastAsia" w:ascii="微软雅黑" w:hAnsi="微软雅黑" w:eastAsia="微软雅黑" w:cs="微软雅黑"/>
                <w:sz w:val="24"/>
                <w:szCs w:val="24"/>
                <w:lang w:val="en-US"/>
              </w:rPr>
              <w:t>AUDIO</w:t>
            </w:r>
          </w:p>
          <w:p>
            <w:pPr>
              <w:jc w:val="both"/>
              <w:rPr>
                <w:rFonts w:hint="eastAsia" w:ascii="微软雅黑" w:hAnsi="微软雅黑" w:eastAsia="微软雅黑" w:cs="微软雅黑"/>
                <w:sz w:val="24"/>
                <w:szCs w:val="24"/>
                <w:lang w:val="en-US"/>
              </w:rPr>
            </w:pPr>
          </w:p>
        </w:tc>
        <w:tc>
          <w:tcPr>
            <w:tcW w:w="7338" w:type="dxa"/>
            <w:vAlign w:val="center"/>
          </w:tcPr>
          <w:p>
            <w:pPr>
              <w:jc w:val="both"/>
              <w:rPr>
                <w:rFonts w:hint="eastAsia" w:ascii="微软雅黑" w:hAnsi="微软雅黑" w:eastAsia="微软雅黑" w:cs="微软雅黑"/>
                <w:sz w:val="24"/>
                <w:szCs w:val="24"/>
              </w:rPr>
            </w:pPr>
            <w:r>
              <w:rPr>
                <w:rFonts w:hint="eastAsia" w:ascii="微软雅黑" w:hAnsi="微软雅黑" w:eastAsia="微软雅黑" w:cs="微软雅黑"/>
                <w:sz w:val="24"/>
                <w:szCs w:val="24"/>
              </w:rPr>
              <w:t>（TX单元）音频输入：将此端口连接至音频输出设备，如MP3,DVD或电脑以进行音频输入；（RX单元）音频输出：将此端口连接至音频输入设备，如放大器，扬声器或耳机以进行音频出</w:t>
            </w:r>
          </w:p>
        </w:tc>
      </w:tr>
    </w:tbl>
    <w:p>
      <w:pPr>
        <w:spacing w:line="260" w:lineRule="atLeast"/>
        <w:ind w:firstLine="360" w:firstLineChars="100"/>
        <w:outlineLvl w:val="9"/>
        <w:rPr>
          <w:rFonts w:ascii="Arial" w:hAnsi="Arial" w:eastAsia="微软雅黑" w:cs="Arial"/>
          <w:b/>
          <w:bCs/>
          <w:sz w:val="36"/>
          <w:szCs w:val="36"/>
        </w:rPr>
      </w:pPr>
    </w:p>
    <w:p>
      <w:pPr>
        <w:pStyle w:val="2"/>
      </w:pPr>
    </w:p>
    <w:p>
      <w:pPr>
        <w:spacing w:line="260" w:lineRule="atLeast"/>
        <w:ind w:firstLine="360" w:firstLineChars="100"/>
        <w:outlineLvl w:val="0"/>
        <w:rPr>
          <w:rFonts w:ascii="Arial" w:hAnsi="Arial" w:eastAsia="微软雅黑" w:cs="Arial"/>
          <w:b/>
          <w:bCs/>
          <w:sz w:val="36"/>
          <w:szCs w:val="36"/>
        </w:rPr>
      </w:pPr>
      <w:bookmarkStart w:id="33" w:name="_Toc16478"/>
      <w:r>
        <w:rPr>
          <w:rFonts w:hint="eastAsia" w:ascii="Arial" w:hAnsi="Arial" w:eastAsia="微软雅黑" w:cs="Arial"/>
          <w:b/>
          <w:bCs/>
          <w:sz w:val="36"/>
          <w:szCs w:val="36"/>
        </w:rPr>
        <w:t>五、产品规格</w:t>
      </w:r>
      <w:bookmarkEnd w:id="33"/>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3"/>
        <w:gridCol w:w="64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jc w:val="center"/>
        </w:trPr>
        <w:tc>
          <w:tcPr>
            <w:tcW w:w="8905" w:type="dxa"/>
            <w:gridSpan w:val="2"/>
            <w:tcBorders>
              <w:left w:val="single" w:color="000000" w:sz="6" w:space="0"/>
              <w:bottom w:val="single" w:color="000000" w:sz="2" w:space="0"/>
            </w:tcBorders>
            <w:shd w:val="clear" w:color="auto" w:fill="B1B1B1"/>
            <w:vAlign w:val="center"/>
          </w:tcPr>
          <w:p>
            <w:pPr>
              <w:ind w:firstLine="241" w:firstLineChars="100"/>
              <w:jc w:val="center"/>
              <w:rPr>
                <w:rFonts w:ascii="微软雅黑" w:hAnsi="微软雅黑" w:eastAsia="微软雅黑"/>
                <w:b/>
                <w:sz w:val="24"/>
                <w:szCs w:val="24"/>
              </w:rPr>
            </w:pPr>
            <w:r>
              <w:rPr>
                <w:rFonts w:hint="eastAsia" w:asciiTheme="minorEastAsia" w:hAnsiTheme="minorEastAsia" w:eastAsiaTheme="minorEastAsia" w:cstheme="minorEastAsia"/>
                <w:b/>
                <w:sz w:val="24"/>
                <w:szCs w:val="24"/>
              </w:rPr>
              <w:t>端口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2" w:space="0"/>
              <w:left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视频</w:t>
            </w:r>
          </w:p>
        </w:tc>
        <w:tc>
          <w:tcPr>
            <w:tcW w:w="6472" w:type="dxa"/>
            <w:tcBorders>
              <w:top w:val="single" w:color="000000" w:sz="2" w:space="0"/>
              <w:lef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HDMI V2.0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HDCP</w:t>
            </w:r>
          </w:p>
        </w:tc>
        <w:tc>
          <w:tcPr>
            <w:tcW w:w="6472" w:type="dxa"/>
            <w:tcBorders>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HPCP 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嵌入音频</w:t>
            </w:r>
          </w:p>
        </w:tc>
        <w:tc>
          <w:tcPr>
            <w:tcW w:w="6472"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支持HDMI 嵌入式 LPCM音频，高达 24比特 192kHz的采样频率</w:t>
            </w:r>
          </w:p>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支持嵌入式 HBR音频格式：如 Dolby TRUEHD,已经DTS-HD Master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rPr>
            </w:pPr>
            <w:r>
              <w:rPr>
                <w:rFonts w:hint="eastAsia" w:asciiTheme="minorEastAsia" w:hAnsiTheme="minorEastAsia" w:eastAsiaTheme="minorEastAsia" w:cstheme="minorEastAsia"/>
                <w:color w:val="000000"/>
                <w:sz w:val="20"/>
                <w:szCs w:val="20"/>
                <w:lang w:val="en-US"/>
              </w:rPr>
              <w:t>外部音频</w:t>
            </w:r>
          </w:p>
        </w:tc>
        <w:tc>
          <w:tcPr>
            <w:tcW w:w="6472" w:type="dxa"/>
            <w:tcBorders>
              <w:top w:val="single" w:color="000000" w:sz="6" w:space="0"/>
              <w:lef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双通道模拟声音频输入与输出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基于 网络的音频</w:t>
            </w:r>
          </w:p>
        </w:tc>
        <w:tc>
          <w:tcPr>
            <w:tcW w:w="6472" w:type="dxa"/>
            <w:tcBorders>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支持利用 1GbE端口对网络化音频进行传递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以太网</w:t>
            </w:r>
          </w:p>
        </w:tc>
        <w:tc>
          <w:tcPr>
            <w:tcW w:w="6472" w:type="dxa"/>
            <w:tcBorders>
              <w:top w:val="single" w:color="000000" w:sz="6" w:space="0"/>
              <w:lef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所有 TX与 RX单元均内置 1GbE以太网交换机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RS 232 - 控制</w:t>
            </w:r>
          </w:p>
        </w:tc>
        <w:tc>
          <w:tcPr>
            <w:tcW w:w="6472" w:type="dxa"/>
            <w:tcBorders>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支持双向RS - 232传递，最高可达波特率115200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2"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IR控制</w:t>
            </w:r>
          </w:p>
        </w:tc>
        <w:tc>
          <w:tcPr>
            <w:tcW w:w="6472" w:type="dxa"/>
            <w:tcBorders>
              <w:top w:val="single" w:color="000000" w:sz="6" w:space="0"/>
              <w:left w:val="single" w:color="000000" w:sz="6" w:space="0"/>
              <w:bottom w:val="single" w:color="000000" w:sz="2"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支持双向IR传递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8905" w:type="dxa"/>
            <w:gridSpan w:val="2"/>
            <w:tcBorders>
              <w:top w:val="single" w:color="000000" w:sz="2" w:space="0"/>
              <w:left w:val="single" w:color="000000" w:sz="6" w:space="0"/>
            </w:tcBorders>
            <w:shd w:val="clear" w:color="auto" w:fill="B1B1B1"/>
            <w:vAlign w:val="center"/>
          </w:tcPr>
          <w:p>
            <w:pPr>
              <w:pStyle w:val="34"/>
              <w:ind w:firstLine="241" w:firstLineChars="100"/>
              <w:jc w:val="center"/>
              <w:rPr>
                <w:sz w:val="24"/>
                <w:szCs w:val="24"/>
                <w:lang w:val="en-US"/>
              </w:rPr>
            </w:pPr>
            <w:r>
              <w:rPr>
                <w:rFonts w:hint="eastAsia" w:asciiTheme="minorEastAsia" w:hAnsiTheme="minorEastAsia" w:eastAsiaTheme="minorEastAsia" w:cstheme="minorEastAsia"/>
                <w:b/>
                <w:kern w:val="2"/>
                <w:sz w:val="24"/>
                <w:szCs w:val="24"/>
                <w:lang w:val="en-US" w:eastAsia="zh-CN" w:bidi="ar-SA"/>
              </w:rPr>
              <w:t>连接指示灯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HDMI输入/ 输出</w:t>
            </w:r>
          </w:p>
        </w:tc>
        <w:tc>
          <w:tcPr>
            <w:tcW w:w="6472" w:type="dxa"/>
            <w:tcBorders>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HDMI TypeA接口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1GbE端口</w:t>
            </w:r>
          </w:p>
        </w:tc>
        <w:tc>
          <w:tcPr>
            <w:tcW w:w="6472"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RJ45接口以及LED指示灯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RS232</w:t>
            </w:r>
          </w:p>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RS 232</w:t>
            </w:r>
          </w:p>
        </w:tc>
        <w:tc>
          <w:tcPr>
            <w:tcW w:w="6472"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3-pin 3.5mm 标准，Phoenix接口，</w:t>
            </w:r>
          </w:p>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与 Phoenix1844223 配合使用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IR控制</w:t>
            </w:r>
          </w:p>
        </w:tc>
        <w:tc>
          <w:tcPr>
            <w:tcW w:w="6472" w:type="dxa"/>
            <w:tcBorders>
              <w:top w:val="single" w:color="000000" w:sz="6" w:space="0"/>
              <w:left w:val="single" w:color="000000" w:sz="6" w:space="0"/>
              <w:bottom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IR输入：3.5mm  立体声迷你插孔</w:t>
            </w:r>
          </w:p>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1x IR输出：3.5mm  迷你插孔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A5A5A5" w:themeFill="background1" w:themeFillShade="A6"/>
            <w:vAlign w:val="center"/>
          </w:tcPr>
          <w:p>
            <w:pPr>
              <w:widowControl/>
              <w:spacing w:line="400" w:lineRule="exact"/>
              <w:ind w:firstLine="120" w:firstLineChars="50"/>
              <w:jc w:val="center"/>
              <w:rPr>
                <w:rFonts w:ascii="微软雅黑" w:hAnsi="微软雅黑" w:eastAsia="微软雅黑"/>
                <w:b/>
                <w:color w:val="000000"/>
                <w:sz w:val="24"/>
                <w:szCs w:val="24"/>
              </w:rPr>
            </w:pPr>
            <w:r>
              <w:rPr>
                <w:rFonts w:hint="eastAsia" w:asciiTheme="minorEastAsia" w:hAnsiTheme="minorEastAsia" w:eastAsiaTheme="minorEastAsia" w:cstheme="minorEastAsia"/>
                <w:b/>
                <w:sz w:val="24"/>
                <w:szCs w:val="24"/>
              </w:rPr>
              <w:t>视频格式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最大像素时钟频率</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支持的像素时钟率达596MHZ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支持的分辨率</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最高支持的分辨率达4096*2160@60HZ(4:4:4)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视频信号延迟</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&lt;1ms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10GBE交换机要求</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要求的功能：10GBE,无闭塞，第二层，通过IGMP监听进行多路传送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支持的输入输出端口数量</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输入输出矩阵仅受限于10GBE网络交换机的大小（端口数量）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光纤传输距离</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受限于光模块类型最远传输10KM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A5A5A5" w:themeFill="background1" w:themeFillShade="A6"/>
            <w:vAlign w:val="center"/>
          </w:tcPr>
          <w:p>
            <w:pPr>
              <w:widowControl/>
              <w:spacing w:line="400" w:lineRule="exact"/>
              <w:ind w:firstLine="120" w:firstLineChars="50"/>
              <w:jc w:val="center"/>
              <w:rPr>
                <w:rFonts w:ascii="微软雅黑" w:hAnsi="微软雅黑" w:eastAsia="微软雅黑"/>
                <w:color w:val="000000"/>
                <w:sz w:val="22"/>
              </w:rPr>
            </w:pPr>
            <w:r>
              <w:rPr>
                <w:rFonts w:hint="eastAsia" w:asciiTheme="minorEastAsia" w:hAnsiTheme="minorEastAsia" w:eastAsiaTheme="minorEastAsia" w:cstheme="minorEastAsia"/>
                <w:b/>
                <w:sz w:val="24"/>
                <w:szCs w:val="24"/>
              </w:rPr>
              <w:t>操作模式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矩阵交换模式</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任何大小的I/O阵列都可以进行完全无闭塞的交叉点路由——仅受限于10GbE交换机的大小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视频墙模式</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使用基本的像素分配方法，可支持视频墙显示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点对点模式</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支持点对点信号扩展，使用光纤连接最大传输距离10KM.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画面分割模式</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SDVOE支持单屏画面最大32分割功能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top"/>
          </w:tcPr>
          <w:p>
            <w:pPr>
              <w:jc w:val="center"/>
              <w:rPr>
                <w:rFonts w:hint="eastAsia" w:ascii="微软雅黑" w:hAnsi="微软雅黑" w:eastAsia="微软雅黑"/>
                <w:color w:val="000000"/>
                <w:sz w:val="22"/>
              </w:rPr>
            </w:pPr>
            <w:r>
              <w:rPr>
                <w:rFonts w:hint="eastAsia" w:asciiTheme="minorEastAsia" w:hAnsiTheme="minorEastAsia" w:eastAsiaTheme="minorEastAsia" w:cstheme="minorEastAsia"/>
                <w:b/>
                <w:sz w:val="24"/>
                <w:szCs w:val="24"/>
              </w:rPr>
              <w:t>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典型电力消耗</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输入、输出接口机：≤10W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外部交流电适配器</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输入：100-240VAC、50-60HZ/输出：+12VDC@2.5A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微软雅黑" w:hAnsi="微软雅黑" w:eastAsia="微软雅黑"/>
                <w:color w:val="000000"/>
                <w:sz w:val="22"/>
              </w:rPr>
            </w:pPr>
            <w:r>
              <w:rPr>
                <w:rFonts w:hint="eastAsia" w:asciiTheme="minorEastAsia" w:hAnsiTheme="minorEastAsia" w:eastAsiaTheme="minorEastAsia" w:cstheme="minorEastAsia"/>
                <w:b/>
                <w:sz w:val="24"/>
                <w:szCs w:val="24"/>
              </w:rPr>
              <w:t>机械规格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结构</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铝壳，蓝色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尺寸</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单位尺寸：227X135X30（MM）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重量</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单位重量：1.1KG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微软雅黑" w:hAnsi="微软雅黑" w:eastAsia="微软雅黑"/>
                <w:color w:val="000000"/>
                <w:sz w:val="22"/>
              </w:rPr>
            </w:pPr>
            <w:r>
              <w:rPr>
                <w:rFonts w:hint="eastAsia" w:asciiTheme="minorEastAsia" w:hAnsiTheme="minorEastAsia" w:eastAsiaTheme="minorEastAsia" w:cstheme="minorEastAsia"/>
                <w:b/>
                <w:sz w:val="24"/>
                <w:szCs w:val="24"/>
              </w:rPr>
              <w:t>环境规格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工作温度（环境）</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+32°至104°F(0°t+40°C）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典型外表温度</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Tx单元：98.6°F（37°C）；Rx单元：105.8°F（41°C）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存储温度（环境）</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-4°至+158°F（-20°to+70°C）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6"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工作/存储湿度</w:t>
            </w:r>
          </w:p>
        </w:tc>
        <w:tc>
          <w:tcPr>
            <w:tcW w:w="6472" w:type="dxa"/>
            <w:tcBorders>
              <w:top w:val="single" w:color="000000" w:sz="6" w:space="0"/>
              <w:left w:val="single" w:color="000000" w:sz="6" w:space="0"/>
              <w:bottom w:val="single" w:color="000000" w:sz="6"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10%至90%（不凝固）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8905" w:type="dxa"/>
            <w:gridSpan w:val="2"/>
            <w:tcBorders>
              <w:top w:val="single" w:color="000000" w:sz="6" w:space="0"/>
              <w:left w:val="single" w:color="000000" w:sz="6" w:space="0"/>
              <w:bottom w:val="single" w:color="000000" w:sz="6" w:space="0"/>
              <w:right w:val="single" w:color="000000" w:sz="4" w:space="0"/>
            </w:tcBorders>
            <w:shd w:val="clear" w:color="auto" w:fill="BEBEBE" w:themeFill="background1" w:themeFillShade="BF"/>
            <w:vAlign w:val="center"/>
          </w:tcPr>
          <w:p>
            <w:pPr>
              <w:jc w:val="center"/>
              <w:rPr>
                <w:rFonts w:hint="eastAsia" w:ascii="微软雅黑" w:hAnsi="微软雅黑" w:eastAsia="微软雅黑"/>
                <w:color w:val="000000"/>
                <w:sz w:val="22"/>
              </w:rPr>
            </w:pPr>
            <w:r>
              <w:rPr>
                <w:rFonts w:hint="eastAsia" w:asciiTheme="minorEastAsia" w:hAnsiTheme="minorEastAsia" w:eastAsiaTheme="minorEastAsia" w:cstheme="minorEastAsia"/>
                <w:b/>
                <w:sz w:val="24"/>
                <w:szCs w:val="24"/>
              </w:rPr>
              <w:t>保修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2433" w:type="dxa"/>
            <w:tcBorders>
              <w:top w:val="single" w:color="000000" w:sz="6" w:space="0"/>
              <w:left w:val="single" w:color="000000" w:sz="6" w:space="0"/>
              <w:bottom w:val="single" w:color="000000" w:sz="4" w:space="0"/>
              <w:right w:val="single" w:color="000000" w:sz="6"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保修期</w:t>
            </w:r>
          </w:p>
        </w:tc>
        <w:tc>
          <w:tcPr>
            <w:tcW w:w="6472" w:type="dxa"/>
            <w:tcBorders>
              <w:top w:val="single" w:color="000000" w:sz="6" w:space="0"/>
              <w:left w:val="single" w:color="000000" w:sz="6" w:space="0"/>
              <w:bottom w:val="single" w:color="000000" w:sz="4" w:space="0"/>
              <w:right w:val="single" w:color="000000" w:sz="4" w:space="0"/>
            </w:tcBorders>
            <w:vAlign w:val="center"/>
          </w:tcPr>
          <w:p>
            <w:pPr>
              <w:widowControl/>
              <w:ind w:firstLine="200" w:firstLineChars="100"/>
              <w:jc w:val="both"/>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壹年零部件保修</w:t>
            </w:r>
          </w:p>
        </w:tc>
      </w:tr>
    </w:tbl>
    <w:p>
      <w:pPr>
        <w:spacing w:line="260" w:lineRule="atLeast"/>
        <w:outlineLvl w:val="9"/>
        <w:rPr>
          <w:rFonts w:ascii="Arial" w:hAnsi="Arial" w:eastAsia="微软雅黑" w:cs="Arial"/>
          <w:b/>
          <w:bCs/>
          <w:sz w:val="36"/>
          <w:szCs w:val="36"/>
        </w:rPr>
      </w:pPr>
    </w:p>
    <w:bookmarkEnd w:id="32"/>
    <w:p>
      <w:pPr>
        <w:pStyle w:val="2"/>
        <w:jc w:val="both"/>
        <w:rPr>
          <w:rFonts w:hint="eastAsia" w:ascii="微软雅黑" w:hAnsi="微软雅黑" w:eastAsia="微软雅黑" w:cstheme="minorBidi"/>
          <w:kern w:val="2"/>
          <w:sz w:val="24"/>
          <w:szCs w:val="24"/>
          <w:lang w:val="en-US" w:eastAsia="zh-CN" w:bidi="ar-SA"/>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思源黑体 CN Heavy">
    <w:altName w:val="黑体"/>
    <w:panose1 w:val="020B0A00000000000000"/>
    <w:charset w:val="86"/>
    <w:family w:val="swiss"/>
    <w:pitch w:val="default"/>
    <w:sig w:usb0="00000000" w:usb1="00000000" w:usb2="00000016" w:usb3="00000000" w:csb0="00060107"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5688330</wp:posOffset>
          </wp:positionH>
          <wp:positionV relativeFrom="paragraph">
            <wp:posOffset>121920</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0E8AC"/>
    <w:multiLevelType w:val="singleLevel"/>
    <w:tmpl w:val="0EE0E8AC"/>
    <w:lvl w:ilvl="0" w:tentative="0">
      <w:start w:val="1"/>
      <w:numFmt w:val="chineseCounting"/>
      <w:suff w:val="nothing"/>
      <w:lvlText w:val="%1、"/>
      <w:lvlJc w:val="left"/>
      <w:rPr>
        <w:rFonts w:hint="eastAsia"/>
      </w:r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abstractNum w:abstractNumId="2">
    <w:nsid w:val="77198EB8"/>
    <w:multiLevelType w:val="singleLevel"/>
    <w:tmpl w:val="77198EB8"/>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9A3E22"/>
    <w:rsid w:val="04B213C1"/>
    <w:rsid w:val="057E74F5"/>
    <w:rsid w:val="05A131E3"/>
    <w:rsid w:val="06B35455"/>
    <w:rsid w:val="06C07946"/>
    <w:rsid w:val="0A821745"/>
    <w:rsid w:val="0A9F4195"/>
    <w:rsid w:val="0B5F56D3"/>
    <w:rsid w:val="0B6D6042"/>
    <w:rsid w:val="101C440E"/>
    <w:rsid w:val="10645539"/>
    <w:rsid w:val="11074842"/>
    <w:rsid w:val="114E06C3"/>
    <w:rsid w:val="11C91AF8"/>
    <w:rsid w:val="15E2762C"/>
    <w:rsid w:val="16CA259A"/>
    <w:rsid w:val="17D80473"/>
    <w:rsid w:val="183028D1"/>
    <w:rsid w:val="18D94D16"/>
    <w:rsid w:val="1C024584"/>
    <w:rsid w:val="1D61352C"/>
    <w:rsid w:val="1DDE692B"/>
    <w:rsid w:val="1E7B061E"/>
    <w:rsid w:val="1F0B7BF4"/>
    <w:rsid w:val="1F14208B"/>
    <w:rsid w:val="207F7B8E"/>
    <w:rsid w:val="213A28E9"/>
    <w:rsid w:val="21F11323"/>
    <w:rsid w:val="22EA5D72"/>
    <w:rsid w:val="24561911"/>
    <w:rsid w:val="255314FB"/>
    <w:rsid w:val="25800FD6"/>
    <w:rsid w:val="26A34BB6"/>
    <w:rsid w:val="2A6428AE"/>
    <w:rsid w:val="2B847C6D"/>
    <w:rsid w:val="2D1C7470"/>
    <w:rsid w:val="2D870D8D"/>
    <w:rsid w:val="2E335B48"/>
    <w:rsid w:val="302C5C1C"/>
    <w:rsid w:val="311A1F18"/>
    <w:rsid w:val="315E1E05"/>
    <w:rsid w:val="319620CE"/>
    <w:rsid w:val="33D01D27"/>
    <w:rsid w:val="35AA386B"/>
    <w:rsid w:val="38C73AC5"/>
    <w:rsid w:val="38DC5587"/>
    <w:rsid w:val="39616936"/>
    <w:rsid w:val="3B9276F3"/>
    <w:rsid w:val="3C4D4F50"/>
    <w:rsid w:val="3DFC6C2D"/>
    <w:rsid w:val="3DFE0BF8"/>
    <w:rsid w:val="3F163D1F"/>
    <w:rsid w:val="402C30CE"/>
    <w:rsid w:val="445F194D"/>
    <w:rsid w:val="449F6565"/>
    <w:rsid w:val="45E5269D"/>
    <w:rsid w:val="4D16516C"/>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5CEC5C67"/>
    <w:rsid w:val="5E543AC4"/>
    <w:rsid w:val="612F3134"/>
    <w:rsid w:val="61AA1D5B"/>
    <w:rsid w:val="62053A53"/>
    <w:rsid w:val="64BE25DF"/>
    <w:rsid w:val="659856DB"/>
    <w:rsid w:val="677671A1"/>
    <w:rsid w:val="690A736D"/>
    <w:rsid w:val="69586B5E"/>
    <w:rsid w:val="6C044D7B"/>
    <w:rsid w:val="6DE035C6"/>
    <w:rsid w:val="6EAD133E"/>
    <w:rsid w:val="6F7C10CD"/>
    <w:rsid w:val="74065409"/>
    <w:rsid w:val="74121C10"/>
    <w:rsid w:val="746C5BB4"/>
    <w:rsid w:val="74AF580F"/>
    <w:rsid w:val="74FC0CE6"/>
    <w:rsid w:val="759E7FEF"/>
    <w:rsid w:val="76E93A99"/>
    <w:rsid w:val="77316C41"/>
    <w:rsid w:val="77BE6DDB"/>
    <w:rsid w:val="77BF424C"/>
    <w:rsid w:val="77EC376A"/>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qFormat/>
    <w:uiPriority w:val="39"/>
    <w:pPr>
      <w:ind w:left="420" w:leftChars="200"/>
    </w:p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jpe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2723</Words>
  <Characters>3528</Characters>
  <Lines>6</Lines>
  <Paragraphs>1</Paragraphs>
  <TotalTime>3</TotalTime>
  <ScaleCrop>false</ScaleCrop>
  <LinksUpToDate>false</LinksUpToDate>
  <CharactersWithSpaces>3638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2022-12-20T01:56:59Z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7B61B161D64C43A7A6391E6BB9309331</vt:lpwstr>
  </property>
</Properties>
</file>