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10G单引擎</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spacing w:line="360" w:lineRule="auto"/>
        <w:ind w:firstLine="1561" w:firstLineChars="300"/>
        <w:jc w:val="both"/>
        <w:rPr>
          <w:rFonts w:hint="eastAsia" w:ascii="微软雅黑" w:hAnsi="微软雅黑" w:eastAsia="微软雅黑" w:cs="思源黑体 CN Heavy"/>
          <w:b/>
          <w:sz w:val="52"/>
          <w:szCs w:val="52"/>
        </w:rPr>
      </w:pPr>
      <w:r>
        <w:rPr>
          <w:rFonts w:hint="eastAsia" w:ascii="微软雅黑" w:hAnsi="微软雅黑" w:eastAsia="微软雅黑" w:cs="思源黑体 CN Heavy"/>
          <w:b/>
          <w:sz w:val="52"/>
          <w:szCs w:val="52"/>
          <w:lang w:val="en-US" w:eastAsia="zh-CN"/>
        </w:rPr>
        <w:t>4K</w:t>
      </w:r>
      <w:bookmarkStart w:id="30" w:name="_GoBack"/>
      <w:bookmarkEnd w:id="30"/>
      <w:r>
        <w:rPr>
          <w:rFonts w:hint="eastAsia" w:ascii="微软雅黑" w:hAnsi="微软雅黑" w:eastAsia="微软雅黑" w:cs="思源黑体 CN Heavy"/>
          <w:b/>
          <w:sz w:val="52"/>
          <w:szCs w:val="52"/>
        </w:rPr>
        <w:t>全功能输入输出一体化接口机</w:t>
      </w:r>
    </w:p>
    <w:p>
      <w:pPr>
        <w:jc w:val="center"/>
        <w:rPr>
          <w:rFonts w:ascii="微软雅黑" w:hAnsi="微软雅黑" w:eastAsia="微软雅黑" w:cs="思源黑体 CN Heavy"/>
          <w:b/>
          <w:sz w:val="48"/>
          <w:szCs w:val="48"/>
        </w:rPr>
      </w:pPr>
      <w:r>
        <w:rPr>
          <w:rFonts w:hint="eastAsia" w:ascii="微软雅黑" w:hAnsi="微软雅黑" w:eastAsia="微软雅黑"/>
          <w:b w:val="0"/>
          <w:bCs/>
          <w:sz w:val="36"/>
          <w:szCs w:val="36"/>
          <w:highlight w:val="none"/>
          <w:lang w:val="en-US" w:eastAsia="zh-CN"/>
        </w:rPr>
        <w:t>DN-210 E/D F</w:t>
      </w:r>
    </w:p>
    <w:p>
      <w:pPr>
        <w:spacing w:line="360" w:lineRule="auto"/>
        <w:jc w:val="both"/>
        <w:rPr>
          <w:rFonts w:hint="eastAsia" w:ascii="微软雅黑" w:hAnsi="微软雅黑" w:eastAsia="微软雅黑"/>
          <w:b w:val="0"/>
          <w:bCs/>
          <w:sz w:val="36"/>
          <w:szCs w:val="36"/>
          <w:highlight w:val="none"/>
          <w:lang w:val="en-US" w:eastAsia="zh-CN"/>
        </w:rPr>
      </w:pP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10G</w:t>
      </w:r>
      <w:r>
        <w:rPr>
          <w:rFonts w:hint="eastAsia" w:ascii="微软雅黑" w:hAnsi="微软雅黑" w:eastAsia="微软雅黑" w:cs="微软雅黑"/>
          <w:sz w:val="24"/>
          <w:szCs w:val="24"/>
          <w:highlight w:val="none"/>
          <w:lang w:val="en-US" w:eastAsia="zh-CN"/>
        </w:rPr>
        <w:t>单引擎系列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pPr>
    </w:p>
    <w:p>
      <w:pPr>
        <w:pStyle w:val="2"/>
      </w:pPr>
    </w:p>
    <w:sdt>
      <w:sdtPr>
        <w:rPr>
          <w:rFonts w:hint="eastAsia" w:ascii="微软雅黑" w:hAnsi="微软雅黑" w:eastAsia="微软雅黑" w:cs="微软雅黑"/>
          <w:kern w:val="2"/>
          <w:sz w:val="40"/>
          <w:szCs w:val="40"/>
          <w:lang w:val="en-US" w:eastAsia="zh-CN" w:bidi="ar-SA"/>
        </w:rPr>
        <w:id w:val="147452785"/>
        <w15:color w:val="DBDBDB"/>
        <w:docPartObj>
          <w:docPartGallery w:val="Table of Contents"/>
          <w:docPartUnique/>
        </w:docPartObj>
      </w:sdtPr>
      <w:sdtEndPr>
        <w:rPr>
          <w:rFonts w:hint="eastAsia" w:ascii="宋体" w:hAnsi="Times New Roman" w:eastAsia="宋体" w:cs="宋体"/>
          <w:color w:val="000000"/>
          <w:kern w:val="2"/>
          <w:sz w:val="24"/>
          <w:szCs w:val="24"/>
          <w:lang w:val="en-US" w:eastAsia="zh-CN" w:bidi="ar-SA"/>
        </w:rPr>
      </w:sdtEndPr>
      <w:sdtContent>
        <w:p>
          <w:pPr>
            <w:keepNext w:val="0"/>
            <w:keepLines w:val="0"/>
            <w:pageBreakBefore w:val="0"/>
            <w:widowControl w:val="0"/>
            <w:kinsoku/>
            <w:wordWrap/>
            <w:overflowPunct/>
            <w:topLinePunct w:val="0"/>
            <w:bidi w:val="0"/>
            <w:snapToGrid/>
            <w:spacing w:before="0" w:beforeLines="0" w:after="0" w:afterLines="0" w:line="360" w:lineRule="auto"/>
            <w:ind w:left="0" w:leftChars="0" w:right="0" w:rightChars="0" w:firstLine="0" w:firstLineChars="0"/>
            <w:jc w:val="center"/>
            <w:textAlignment w:val="auto"/>
            <w:rPr>
              <w:rFonts w:hint="eastAsia" w:ascii="微软雅黑" w:hAnsi="微软雅黑" w:eastAsia="微软雅黑" w:cs="微软雅黑"/>
              <w:sz w:val="40"/>
              <w:szCs w:val="40"/>
            </w:rPr>
          </w:pPr>
          <w:r>
            <w:rPr>
              <w:rFonts w:hint="eastAsia" w:ascii="微软雅黑" w:hAnsi="微软雅黑" w:eastAsia="微软雅黑" w:cs="微软雅黑"/>
              <w:sz w:val="40"/>
              <w:szCs w:val="40"/>
            </w:rPr>
            <w:t>目录</w:t>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fldChar w:fldCharType="begin"/>
          </w:r>
          <w:r>
            <w:instrText xml:space="preserve">TOC \o "1-3" \h \u </w:instrText>
          </w:r>
          <w:r>
            <w:fldChar w:fldCharType="separate"/>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_Toc22018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一、 前言</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_Toc22018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4"/>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_Toc13178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1.1产品特点</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_Toc13178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_Toc6151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二、 产品参数</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_Toc6151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_Toc7928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三、包装内容</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_Toc7928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_Toc29038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sz w:val="24"/>
              <w:szCs w:val="24"/>
            </w:rPr>
            <w:t>四、产品前后面板介绍</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_Toc29038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_Toc10141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sz w:val="24"/>
              <w:szCs w:val="24"/>
            </w:rPr>
            <w:t>五、产品规格</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_Toc10141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2"/>
            <w:keepNext w:val="0"/>
            <w:keepLines w:val="0"/>
            <w:pageBreakBefore w:val="0"/>
            <w:widowControl w:val="0"/>
            <w:kinsoku/>
            <w:wordWrap/>
            <w:overflowPunct/>
            <w:topLinePunct w:val="0"/>
            <w:bidi w:val="0"/>
            <w:snapToGrid/>
            <w:spacing w:line="360" w:lineRule="auto"/>
            <w:textAlignment w:val="auto"/>
            <w:sectPr>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pPr>
          <w:r>
            <w:fldChar w:fldCharType="end"/>
          </w:r>
        </w:p>
      </w:sdtContent>
    </w:sdt>
    <w:p>
      <w:pPr>
        <w:pStyle w:val="2"/>
      </w:pPr>
    </w:p>
    <w:p>
      <w:pPr>
        <w:numPr>
          <w:ilvl w:val="0"/>
          <w:numId w:val="1"/>
        </w:numPr>
        <w:spacing w:line="260" w:lineRule="atLeast"/>
        <w:jc w:val="left"/>
        <w:outlineLvl w:val="0"/>
        <w:rPr>
          <w:rFonts w:hint="eastAsia" w:ascii="微软雅黑" w:hAnsi="微软雅黑" w:eastAsia="微软雅黑" w:cs="微软雅黑"/>
          <w:b/>
          <w:bCs/>
          <w:kern w:val="2"/>
          <w:sz w:val="36"/>
          <w:szCs w:val="36"/>
          <w:lang w:val="en-US" w:eastAsia="zh-CN" w:bidi="ar-SA"/>
        </w:rPr>
      </w:pPr>
      <w:bookmarkStart w:id="1" w:name="_Toc32462"/>
      <w:bookmarkStart w:id="2" w:name="_Toc22018"/>
      <w:r>
        <w:rPr>
          <w:rFonts w:hint="eastAsia" w:ascii="微软雅黑" w:hAnsi="微软雅黑" w:eastAsia="微软雅黑" w:cs="微软雅黑"/>
          <w:b/>
          <w:bCs/>
          <w:kern w:val="2"/>
          <w:sz w:val="36"/>
          <w:szCs w:val="36"/>
          <w:lang w:val="en-US" w:eastAsia="zh-CN" w:bidi="ar-SA"/>
        </w:rPr>
        <w:t>前言</w:t>
      </w:r>
      <w:bookmarkEnd w:id="1"/>
      <w:bookmarkEnd w:id="2"/>
    </w:p>
    <w:p>
      <w:pPr>
        <w:ind w:firstLine="480" w:firstLineChars="200"/>
        <w:jc w:val="left"/>
        <w:rPr>
          <w:rFonts w:hint="eastAsia" w:ascii="微软雅黑" w:hAnsi="微软雅黑" w:eastAsia="微软雅黑" w:cstheme="minorBidi"/>
          <w:kern w:val="0"/>
          <w:sz w:val="24"/>
          <w:szCs w:val="24"/>
          <w:lang w:val="en-US" w:eastAsia="zh-CN" w:bidi="ar-SA"/>
        </w:rPr>
      </w:pPr>
      <w:r>
        <w:rPr>
          <w:rFonts w:hint="eastAsia" w:ascii="微软雅黑" w:hAnsi="微软雅黑" w:eastAsia="微软雅黑" w:cs="思源黑体 CN Heavy"/>
          <w:sz w:val="24"/>
          <w:szCs w:val="24"/>
        </w:rPr>
        <w:t>全功能输入输出一体化接口机</w:t>
      </w:r>
      <w:r>
        <w:rPr>
          <w:rFonts w:hint="eastAsia" w:ascii="微软雅黑" w:hAnsi="微软雅黑" w:eastAsia="微软雅黑" w:cs="思源黑体 CN Light"/>
          <w:sz w:val="24"/>
          <w:szCs w:val="24"/>
        </w:rPr>
        <w:t>是目前最好画质的4K分布式系统，利用10GbE以太网技术实现视频、音频、以太网和其他控制信号进行矩阵切换、画面拼接功能。分辨率达</w:t>
      </w:r>
      <w:r>
        <w:rPr>
          <w:rFonts w:hint="eastAsia" w:ascii="微软雅黑" w:hAnsi="微软雅黑" w:eastAsia="微软雅黑" w:cs="Times New Roman"/>
          <w:sz w:val="24"/>
          <w:szCs w:val="24"/>
        </w:rPr>
        <w:t>4096x2160@60HZ 4：4：4 ,HDR</w:t>
      </w:r>
      <w:r>
        <w:rPr>
          <w:rFonts w:hint="eastAsia" w:ascii="微软雅黑" w:hAnsi="微软雅黑" w:eastAsia="微软雅黑" w:cs="思源黑体 CN Light"/>
          <w:sz w:val="24"/>
          <w:szCs w:val="24"/>
        </w:rPr>
        <w:t>，提供无与伦比的图像画质，无画面延迟、无压缩、无伪影。硬件搭配软件平台，具有可扩展性、多功能性，支持各种不同的应用，包括点对点扩展、矩阵无缝切换、视频墙显示。为了获得更好的灵活性，多种信号包括视频、IR等都可以特殊编码经10GbE交换机路由到任何接收机。</w:t>
      </w:r>
    </w:p>
    <w:p>
      <w:pPr>
        <w:spacing w:line="276" w:lineRule="auto"/>
        <w:outlineLvl w:val="1"/>
        <w:rPr>
          <w:rFonts w:hint="eastAsia" w:ascii="微软雅黑" w:hAnsi="微软雅黑" w:eastAsia="微软雅黑" w:cs="微软雅黑"/>
          <w:b/>
          <w:bCs/>
          <w:kern w:val="2"/>
          <w:sz w:val="30"/>
          <w:szCs w:val="30"/>
          <w:lang w:val="en-US" w:eastAsia="zh-CN" w:bidi="ar-SA"/>
        </w:rPr>
      </w:pPr>
      <w:bookmarkStart w:id="3" w:name="_Toc13178"/>
      <w:r>
        <w:rPr>
          <w:rFonts w:hint="eastAsia" w:ascii="微软雅黑" w:hAnsi="微软雅黑" w:eastAsia="微软雅黑" w:cs="微软雅黑"/>
          <w:b/>
          <w:bCs/>
          <w:kern w:val="2"/>
          <w:sz w:val="30"/>
          <w:szCs w:val="30"/>
          <w:lang w:val="en-US" w:eastAsia="zh-CN" w:bidi="ar-SA"/>
        </w:rPr>
        <w:t>1.1产品特点：</w:t>
      </w:r>
      <w:bookmarkEnd w:id="3"/>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支持4096*2160@60HZ 4：4：4及HDR视频的无延时无压缩传输；</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支持HDMI2.0,HDCP2.2和HDCP1.4；</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支持EDID在线管理；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同编同解功能；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支持视频信号无缝切换功能，支持画面拼接功能；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支持外部音频加嵌和解钳；</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外部音频矩阵切换功能；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HDMI音频矩阵切换功能；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支持外部音频和HDMI内嵌音频任意切换；</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支持双向红外传输及IR矩阵功能；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支持RS232传输；</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支持高清辅流功能，辅流大小可根据主流大小自行设定；</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lang w:val="en-US" w:eastAsia="zh-CN"/>
        </w:rPr>
      </w:pPr>
      <w:r>
        <w:rPr>
          <w:rFonts w:hint="eastAsia" w:ascii="微软雅黑" w:hAnsi="微软雅黑" w:eastAsia="微软雅黑" w:cstheme="minorBidi"/>
          <w:sz w:val="24"/>
          <w:szCs w:val="24"/>
          <w:lang w:val="en-US" w:eastAsia="zh-CN" w:bidi="ar-SA"/>
        </w:rPr>
        <w:t>单屏最大支持32个分割画面。</w:t>
      </w:r>
    </w:p>
    <w:p>
      <w:pPr>
        <w:pStyle w:val="3"/>
        <w:keepNext/>
        <w:keepLines/>
        <w:pageBreakBefore w:val="0"/>
        <w:widowControl w:val="0"/>
        <w:numPr>
          <w:ilvl w:val="0"/>
          <w:numId w:val="3"/>
        </w:numPr>
        <w:kinsoku/>
        <w:wordWrap/>
        <w:overflowPunct/>
        <w:topLinePunct w:val="0"/>
        <w:autoSpaceDE/>
        <w:autoSpaceDN/>
        <w:bidi w:val="0"/>
        <w:adjustRightInd/>
        <w:snapToGrid/>
        <w:spacing w:before="0" w:after="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bookmarkStart w:id="4" w:name="_Toc6151"/>
      <w:r>
        <w:rPr>
          <w:rFonts w:hint="eastAsia" w:ascii="微软雅黑" w:hAnsi="微软雅黑" w:eastAsia="微软雅黑" w:cs="微软雅黑"/>
          <w:b/>
          <w:bCs/>
          <w:kern w:val="2"/>
          <w:sz w:val="36"/>
          <w:szCs w:val="36"/>
          <w:lang w:val="en-US" w:eastAsia="zh-CN" w:bidi="ar-SA"/>
        </w:rPr>
        <w:t>产品参数</w:t>
      </w:r>
      <w:bookmarkEnd w:id="4"/>
    </w:p>
    <w:tbl>
      <w:tblPr>
        <w:tblStyle w:val="15"/>
        <w:tblpPr w:leftFromText="180" w:rightFromText="180" w:vertAnchor="text" w:horzAnchor="page" w:tblpX="1721" w:tblpY="328"/>
        <w:tblOverlap w:val="never"/>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5" w:name="_Toc19956"/>
            <w:r>
              <w:rPr>
                <w:rFonts w:hint="eastAsia" w:ascii="微软雅黑" w:hAnsi="微软雅黑" w:eastAsia="微软雅黑" w:cs="微软雅黑"/>
                <w:sz w:val="24"/>
                <w:szCs w:val="24"/>
              </w:rPr>
              <w:t>视频输</w:t>
            </w:r>
            <w:r>
              <w:rPr>
                <w:rFonts w:hint="eastAsia" w:ascii="微软雅黑" w:hAnsi="微软雅黑" w:eastAsia="微软雅黑" w:cs="微软雅黑"/>
                <w:sz w:val="24"/>
                <w:szCs w:val="24"/>
                <w:lang w:val="en-US" w:eastAsia="zh-CN"/>
              </w:rPr>
              <w:t>入</w:t>
            </w:r>
            <w:r>
              <w:rPr>
                <w:rFonts w:hint="eastAsia" w:ascii="微软雅黑" w:hAnsi="微软雅黑" w:eastAsia="微软雅黑" w:cs="微软雅黑"/>
                <w:sz w:val="24"/>
                <w:szCs w:val="24"/>
              </w:rPr>
              <w:t>接口</w:t>
            </w:r>
            <w:bookmarkEnd w:id="5"/>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6" w:name="_Toc12832"/>
            <w:r>
              <w:rPr>
                <w:rFonts w:hint="eastAsia" w:ascii="微软雅黑" w:hAnsi="微软雅黑" w:eastAsia="微软雅黑" w:cs="微软雅黑"/>
                <w:sz w:val="24"/>
                <w:szCs w:val="24"/>
              </w:rPr>
              <w:t>1*HDMI</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7" w:name="_Toc8629"/>
            <w:r>
              <w:rPr>
                <w:rFonts w:hint="eastAsia" w:ascii="微软雅黑" w:hAnsi="微软雅黑" w:eastAsia="微软雅黑" w:cs="微软雅黑"/>
                <w:sz w:val="24"/>
                <w:szCs w:val="24"/>
              </w:rPr>
              <w:t>视频输出接口</w:t>
            </w:r>
            <w:bookmarkEnd w:id="7"/>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8" w:name="_Toc13535"/>
            <w:r>
              <w:rPr>
                <w:rFonts w:hint="eastAsia" w:ascii="微软雅黑" w:hAnsi="微软雅黑" w:eastAsia="微软雅黑" w:cs="微软雅黑"/>
                <w:sz w:val="24"/>
                <w:szCs w:val="24"/>
              </w:rPr>
              <w:t>1*HDMI</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9" w:name="_Toc29462"/>
            <w:r>
              <w:rPr>
                <w:rFonts w:hint="eastAsia" w:ascii="微软雅黑" w:hAnsi="微软雅黑" w:eastAsia="微软雅黑" w:cs="微软雅黑"/>
                <w:sz w:val="24"/>
                <w:szCs w:val="24"/>
              </w:rPr>
              <w:t>输入分辨率</w:t>
            </w:r>
            <w:bookmarkEnd w:id="9"/>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0" w:name="_Toc14589"/>
            <w:r>
              <w:rPr>
                <w:rFonts w:hint="eastAsia" w:ascii="微软雅黑" w:hAnsi="微软雅黑" w:eastAsia="微软雅黑" w:cs="微软雅黑"/>
                <w:sz w:val="24"/>
                <w:szCs w:val="24"/>
              </w:rPr>
              <w:t>4096*2160@60HZ</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11" w:name="_Toc28303"/>
            <w:r>
              <w:rPr>
                <w:rFonts w:hint="eastAsia" w:ascii="微软雅黑" w:hAnsi="微软雅黑" w:eastAsia="微软雅黑" w:cs="微软雅黑"/>
                <w:sz w:val="24"/>
                <w:szCs w:val="24"/>
              </w:rPr>
              <w:t>输出分辨率</w:t>
            </w:r>
            <w:bookmarkEnd w:id="11"/>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2" w:name="_Toc23859"/>
            <w:r>
              <w:rPr>
                <w:rFonts w:hint="eastAsia" w:ascii="微软雅黑" w:hAnsi="微软雅黑" w:eastAsia="微软雅黑" w:cs="微软雅黑"/>
                <w:sz w:val="24"/>
                <w:szCs w:val="24"/>
              </w:rPr>
              <w:t>4096*2160@60HZ</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13" w:name="_Toc13228"/>
            <w:r>
              <w:rPr>
                <w:rFonts w:hint="eastAsia" w:ascii="微软雅黑" w:hAnsi="微软雅黑" w:eastAsia="微软雅黑" w:cs="微软雅黑"/>
                <w:sz w:val="24"/>
                <w:szCs w:val="24"/>
              </w:rPr>
              <w:t>音频接口</w:t>
            </w:r>
            <w:bookmarkEnd w:id="13"/>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4" w:name="_Toc6085"/>
            <w:r>
              <w:rPr>
                <w:rFonts w:hint="eastAsia" w:ascii="微软雅黑" w:hAnsi="微软雅黑" w:eastAsia="微软雅黑" w:cs="微软雅黑"/>
                <w:sz w:val="24"/>
                <w:szCs w:val="24"/>
              </w:rPr>
              <w:t>3.5mm耳机接口</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15" w:name="_Toc2270"/>
            <w:r>
              <w:rPr>
                <w:rFonts w:hint="eastAsia" w:ascii="微软雅黑" w:hAnsi="微软雅黑" w:eastAsia="微软雅黑" w:cs="微软雅黑"/>
                <w:sz w:val="24"/>
                <w:szCs w:val="24"/>
              </w:rPr>
              <w:t>串口控制</w:t>
            </w:r>
            <w:bookmarkEnd w:id="15"/>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6" w:name="_Toc8599"/>
            <w:r>
              <w:rPr>
                <w:rFonts w:hint="eastAsia" w:ascii="微软雅黑" w:hAnsi="微软雅黑" w:eastAsia="微软雅黑" w:cs="微软雅黑"/>
                <w:sz w:val="24"/>
                <w:szCs w:val="24"/>
              </w:rPr>
              <w:t>RS232*1   IR*2</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17" w:name="_Toc1738"/>
            <w:r>
              <w:rPr>
                <w:rFonts w:hint="eastAsia" w:ascii="微软雅黑" w:hAnsi="微软雅黑" w:eastAsia="微软雅黑" w:cs="微软雅黑"/>
                <w:sz w:val="24"/>
                <w:szCs w:val="24"/>
              </w:rPr>
              <w:t>网络接口</w:t>
            </w:r>
            <w:bookmarkEnd w:id="17"/>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8" w:name="_Toc11977"/>
            <w:r>
              <w:rPr>
                <w:rFonts w:hint="eastAsia" w:ascii="微软雅黑" w:hAnsi="微软雅黑" w:eastAsia="微软雅黑" w:cs="微软雅黑"/>
                <w:sz w:val="24"/>
                <w:szCs w:val="24"/>
              </w:rPr>
              <w:t>RJ45/1G*1   SFP+*1</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9" w:name="_Toc16119"/>
            <w:r>
              <w:rPr>
                <w:rFonts w:hint="eastAsia" w:ascii="微软雅黑" w:hAnsi="微软雅黑" w:eastAsia="微软雅黑" w:cs="微软雅黑"/>
                <w:sz w:val="24"/>
                <w:szCs w:val="24"/>
              </w:rPr>
              <w:t>功耗</w:t>
            </w:r>
            <w:bookmarkEnd w:id="19"/>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0" w:name="_Toc2332"/>
            <w:r>
              <w:rPr>
                <w:rFonts w:hint="eastAsia" w:ascii="微软雅黑" w:hAnsi="微软雅黑" w:eastAsia="微软雅黑" w:cs="微软雅黑"/>
                <w:sz w:val="24"/>
                <w:szCs w:val="24"/>
              </w:rPr>
              <w:t>≤10W</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1" w:name="_Toc16655"/>
            <w:r>
              <w:rPr>
                <w:rFonts w:hint="eastAsia" w:ascii="微软雅黑" w:hAnsi="微软雅黑" w:eastAsia="微软雅黑" w:cs="微软雅黑"/>
                <w:sz w:val="24"/>
                <w:szCs w:val="24"/>
              </w:rPr>
              <w:t>视频信号延迟</w:t>
            </w:r>
            <w:bookmarkEnd w:id="21"/>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2" w:name="_Toc701"/>
            <w:r>
              <w:rPr>
                <w:rFonts w:hint="eastAsia" w:ascii="微软雅黑" w:hAnsi="微软雅黑" w:eastAsia="微软雅黑" w:cs="微软雅黑"/>
                <w:sz w:val="24"/>
                <w:szCs w:val="24"/>
              </w:rPr>
              <w:t>&lt;1ms</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sz w:val="24"/>
                <w:szCs w:val="24"/>
              </w:rPr>
            </w:pPr>
            <w:bookmarkStart w:id="23" w:name="_Toc15123"/>
            <w:r>
              <w:rPr>
                <w:rFonts w:hint="eastAsia" w:ascii="微软雅黑" w:hAnsi="微软雅黑" w:eastAsia="微软雅黑" w:cs="微软雅黑"/>
                <w:sz w:val="24"/>
                <w:szCs w:val="24"/>
              </w:rPr>
              <w:t>尺寸</w:t>
            </w:r>
            <w:bookmarkEnd w:id="23"/>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center"/>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4" w:name="_Toc11298"/>
            <w:r>
              <w:rPr>
                <w:rFonts w:hint="eastAsia" w:ascii="微软雅黑" w:hAnsi="微软雅黑" w:eastAsia="微软雅黑" w:cs="微软雅黑"/>
                <w:sz w:val="24"/>
                <w:szCs w:val="24"/>
              </w:rPr>
              <w:t>227mm*135mm*30mm</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spacing w:before="9" w:line="260" w:lineRule="atLeast"/>
              <w:ind w:left="0" w:leftChars="0" w:right="0" w:rightChars="0" w:firstLine="480" w:firstLineChars="200"/>
              <w:jc w:val="center"/>
              <w:outlineLvl w:val="0"/>
              <w:rPr>
                <w:rFonts w:hint="eastAsia" w:ascii="微软雅黑" w:hAnsi="微软雅黑" w:eastAsia="微软雅黑" w:cs="微软雅黑"/>
                <w:sz w:val="24"/>
                <w:szCs w:val="24"/>
              </w:rPr>
            </w:pPr>
            <w:bookmarkStart w:id="25" w:name="_Toc5162"/>
            <w:r>
              <w:rPr>
                <w:rFonts w:hint="eastAsia" w:ascii="微软雅黑" w:hAnsi="微软雅黑" w:eastAsia="微软雅黑" w:cs="微软雅黑"/>
                <w:bCs/>
                <w:sz w:val="24"/>
                <w:szCs w:val="24"/>
              </w:rPr>
              <w:t>重量</w:t>
            </w:r>
            <w:bookmarkEnd w:id="25"/>
          </w:p>
        </w:tc>
        <w:tc>
          <w:tcPr>
            <w:tcW w:w="6069" w:type="dxa"/>
            <w:noWrap w:val="0"/>
            <w:vAlign w:val="center"/>
          </w:tcPr>
          <w:p>
            <w:pPr>
              <w:keepNext w:val="0"/>
              <w:keepLines w:val="0"/>
              <w:widowControl/>
              <w:suppressLineNumbers w:val="0"/>
              <w:spacing w:line="260" w:lineRule="atLeast"/>
              <w:ind w:firstLine="480" w:firstLineChars="200"/>
              <w:jc w:val="center"/>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6" w:name="_Toc20003"/>
            <w:r>
              <w:rPr>
                <w:rFonts w:hint="eastAsia" w:ascii="微软雅黑" w:hAnsi="微软雅黑" w:eastAsia="微软雅黑" w:cs="微软雅黑"/>
                <w:sz w:val="24"/>
                <w:szCs w:val="24"/>
              </w:rPr>
              <w:t>1.1KG</w:t>
            </w:r>
            <w:bookmarkEnd w:id="26"/>
          </w:p>
        </w:tc>
      </w:tr>
    </w:tbl>
    <w:p>
      <w:pPr>
        <w:numPr>
          <w:ilvl w:val="0"/>
          <w:numId w:val="0"/>
        </w:numPr>
        <w:rPr>
          <w:rFonts w:hint="default"/>
          <w:sz w:val="24"/>
          <w:szCs w:val="24"/>
          <w:lang w:val="en-US" w:eastAsia="zh-CN"/>
        </w:rPr>
      </w:pPr>
    </w:p>
    <w:p>
      <w:pPr>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bookmarkStart w:id="27" w:name="_Toc7928"/>
      <w:r>
        <w:rPr>
          <w:rFonts w:hint="eastAsia" w:ascii="微软雅黑" w:hAnsi="微软雅黑" w:eastAsia="微软雅黑" w:cs="微软雅黑"/>
          <w:b/>
          <w:bCs/>
          <w:kern w:val="2"/>
          <w:sz w:val="36"/>
          <w:szCs w:val="36"/>
          <w:lang w:val="en-US" w:eastAsia="zh-CN" w:bidi="ar-SA"/>
        </w:rPr>
        <w:t>三、包装内容</w:t>
      </w:r>
      <w:bookmarkEnd w:id="27"/>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电源适配器</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12V 2.5A DC桌插式，包装数量根据设备定制</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电源线</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包装数量根据电源适配器定制</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遥控器红外接收和发射</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默认包装各一个</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产品简介</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默认包装是一箱放置1份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保修卡</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默认包装是一箱放置1张</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合格证</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默认包装是一箱放置1张</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pacing w:line="260" w:lineRule="atLeast"/>
        <w:ind w:firstLine="180" w:firstLineChars="50"/>
        <w:jc w:val="left"/>
        <w:outlineLvl w:val="0"/>
        <w:rPr>
          <w:rFonts w:ascii="Arial" w:hAnsi="Arial" w:eastAsia="微软雅黑" w:cs="Arial"/>
          <w:b/>
          <w:bCs/>
          <w:sz w:val="36"/>
          <w:szCs w:val="36"/>
        </w:rPr>
      </w:pPr>
      <w:bookmarkStart w:id="28" w:name="_Toc29038"/>
      <w:r>
        <w:rPr>
          <w:rFonts w:hint="eastAsia" w:ascii="Arial" w:hAnsi="Arial" w:eastAsia="微软雅黑" w:cs="Arial"/>
          <w:b/>
          <w:bCs/>
          <w:sz w:val="36"/>
          <w:szCs w:val="36"/>
        </w:rPr>
        <w:t>四、产品前后面板介绍</w:t>
      </w:r>
      <w:bookmarkEnd w:id="28"/>
    </w:p>
    <w:p>
      <w:pPr>
        <w:spacing w:before="66"/>
        <w:ind w:firstLine="480" w:firstLineChars="200"/>
        <w:jc w:val="left"/>
        <w:rPr>
          <w:rFonts w:ascii="微软雅黑" w:hAnsi="微软雅黑" w:eastAsia="微软雅黑"/>
          <w:b/>
          <w:sz w:val="24"/>
          <w:szCs w:val="24"/>
        </w:rPr>
      </w:pPr>
      <w:r>
        <w:rPr>
          <w:rFonts w:hint="eastAsia" w:ascii="微软雅黑" w:hAnsi="微软雅黑" w:eastAsia="微软雅黑"/>
          <w:b/>
          <w:sz w:val="24"/>
          <w:szCs w:val="24"/>
        </w:rPr>
        <w:t xml:space="preserve">DN-210 E/D F  </w:t>
      </w:r>
      <w:r>
        <w:rPr>
          <w:rFonts w:ascii="微软雅黑" w:hAnsi="微软雅黑" w:eastAsia="微软雅黑"/>
          <w:b/>
          <w:sz w:val="24"/>
          <w:szCs w:val="24"/>
        </w:rPr>
        <w:t>前面板</w:t>
      </w:r>
    </w:p>
    <w:p>
      <w:pPr>
        <w:spacing w:before="66"/>
        <w:jc w:val="left"/>
        <w:rPr>
          <w:b/>
          <w:sz w:val="20"/>
          <w:szCs w:val="20"/>
        </w:rPr>
      </w:pPr>
      <w:r>
        <w:rPr>
          <w:b/>
          <w:sz w:val="20"/>
          <w:szCs w:val="20"/>
        </w:rPr>
        <w:drawing>
          <wp:inline distT="0" distB="0" distL="0" distR="0">
            <wp:extent cx="5063490" cy="974725"/>
            <wp:effectExtent l="0" t="0" r="3810" b="6350"/>
            <wp:docPr id="2" name="图片 2" descr="前面编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前面编号.jpg"/>
                    <pic:cNvPicPr>
                      <a:picLocks noChangeAspect="1"/>
                    </pic:cNvPicPr>
                  </pic:nvPicPr>
                  <pic:blipFill>
                    <a:blip r:embed="rId6" cstate="print"/>
                    <a:stretch>
                      <a:fillRect/>
                    </a:stretch>
                  </pic:blipFill>
                  <pic:spPr>
                    <a:xfrm>
                      <a:off x="0" y="0"/>
                      <a:ext cx="5067576" cy="975974"/>
                    </a:xfrm>
                    <a:prstGeom prst="rect">
                      <a:avLst/>
                    </a:prstGeom>
                  </pic:spPr>
                </pic:pic>
              </a:graphicData>
            </a:graphic>
          </wp:inline>
        </w:drawing>
      </w:r>
    </w:p>
    <w:tbl>
      <w:tblPr>
        <w:tblStyle w:val="1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916"/>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shd w:val="clear" w:color="auto" w:fill="BEBEBE" w:themeFill="background1" w:themeFillShade="BF"/>
            <w:vAlign w:val="center"/>
          </w:tcPr>
          <w:p>
            <w:pPr>
              <w:jc w:val="center"/>
              <w:rPr>
                <w:rFonts w:ascii="微软雅黑" w:hAnsi="微软雅黑" w:eastAsia="微软雅黑"/>
                <w:b/>
                <w:sz w:val="24"/>
                <w:szCs w:val="24"/>
              </w:rPr>
            </w:pPr>
            <w:r>
              <w:rPr>
                <w:rFonts w:hint="eastAsia" w:ascii="微软雅黑" w:hAnsi="微软雅黑" w:eastAsia="微软雅黑"/>
                <w:b/>
                <w:sz w:val="24"/>
                <w:szCs w:val="24"/>
              </w:rPr>
              <w:t>序号</w:t>
            </w:r>
          </w:p>
        </w:tc>
        <w:tc>
          <w:tcPr>
            <w:tcW w:w="1916" w:type="dxa"/>
            <w:shd w:val="clear" w:color="auto" w:fill="BEBEBE" w:themeFill="background1" w:themeFillShade="BF"/>
            <w:vAlign w:val="center"/>
          </w:tcPr>
          <w:p>
            <w:pPr>
              <w:jc w:val="center"/>
              <w:rPr>
                <w:rFonts w:ascii="微软雅黑" w:hAnsi="微软雅黑" w:eastAsia="微软雅黑"/>
                <w:b/>
                <w:sz w:val="24"/>
                <w:szCs w:val="24"/>
              </w:rPr>
            </w:pPr>
            <w:r>
              <w:rPr>
                <w:rFonts w:hint="eastAsia" w:ascii="微软雅黑" w:hAnsi="微软雅黑" w:eastAsia="微软雅黑"/>
                <w:b/>
                <w:sz w:val="24"/>
                <w:szCs w:val="24"/>
              </w:rPr>
              <w:t>名称</w:t>
            </w:r>
          </w:p>
        </w:tc>
        <w:tc>
          <w:tcPr>
            <w:tcW w:w="6731" w:type="dxa"/>
            <w:shd w:val="clear" w:color="auto" w:fill="BEBEBE" w:themeFill="background1" w:themeFillShade="BF"/>
            <w:vAlign w:val="center"/>
          </w:tcPr>
          <w:p>
            <w:pPr>
              <w:jc w:val="center"/>
              <w:rPr>
                <w:rFonts w:ascii="微软雅黑" w:hAnsi="微软雅黑" w:eastAsia="微软雅黑"/>
                <w:b/>
                <w:sz w:val="24"/>
                <w:szCs w:val="24"/>
              </w:rPr>
            </w:pPr>
            <w:r>
              <w:rPr>
                <w:rFonts w:hint="eastAsia" w:ascii="微软雅黑" w:hAnsi="微软雅黑" w:eastAsia="微软雅黑"/>
                <w:b/>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01</w:t>
            </w:r>
          </w:p>
        </w:tc>
        <w:tc>
          <w:tcPr>
            <w:tcW w:w="1916" w:type="dxa"/>
            <w:vAlign w:val="center"/>
          </w:tcPr>
          <w:p>
            <w:pPr>
              <w:spacing w:line="400" w:lineRule="exact"/>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FACTORY RESET</w:t>
            </w:r>
          </w:p>
        </w:tc>
        <w:tc>
          <w:tcPr>
            <w:tcW w:w="6731"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机子恢复出厂设置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w:t>
            </w:r>
          </w:p>
        </w:tc>
        <w:tc>
          <w:tcPr>
            <w:tcW w:w="1916"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STATUS</w:t>
            </w:r>
          </w:p>
        </w:tc>
        <w:tc>
          <w:tcPr>
            <w:tcW w:w="6731"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机子进入开机状态；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03</w:t>
            </w:r>
          </w:p>
        </w:tc>
        <w:tc>
          <w:tcPr>
            <w:tcW w:w="1916"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VIDEO IN</w:t>
            </w:r>
          </w:p>
        </w:tc>
        <w:tc>
          <w:tcPr>
            <w:tcW w:w="6731"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灯长亮检测到稳定的视频信号；灯不亮没有检测到稳定的视频信号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04</w:t>
            </w:r>
          </w:p>
        </w:tc>
        <w:tc>
          <w:tcPr>
            <w:tcW w:w="1916" w:type="dxa"/>
            <w:vAlign w:val="center"/>
          </w:tcPr>
          <w:p>
            <w:pPr>
              <w:pStyle w:val="34"/>
              <w:spacing w:before="17" w:line="200" w:lineRule="exact"/>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VIDEO OUT</w:t>
            </w:r>
          </w:p>
        </w:tc>
        <w:tc>
          <w:tcPr>
            <w:tcW w:w="6731"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灯长亮检测到显示设备连接；灯不亮没有检测到显示设备连接。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05</w:t>
            </w:r>
          </w:p>
        </w:tc>
        <w:tc>
          <w:tcPr>
            <w:tcW w:w="1916"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LINK TX</w:t>
            </w:r>
          </w:p>
        </w:tc>
        <w:tc>
          <w:tcPr>
            <w:tcW w:w="6731"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灯闪烁：设备正在发送以太网数据； 灯不亮：设备不发送以太网数据；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w:t>
            </w:r>
          </w:p>
        </w:tc>
        <w:tc>
          <w:tcPr>
            <w:tcW w:w="1916"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LINK RX</w:t>
            </w:r>
          </w:p>
        </w:tc>
        <w:tc>
          <w:tcPr>
            <w:tcW w:w="6731" w:type="dxa"/>
            <w:vAlign w:val="center"/>
          </w:tcPr>
          <w:p>
            <w:pPr>
              <w:spacing w:line="400" w:lineRule="exact"/>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灯闪烁：该设备正在接收以太网数据并处理视频信号；</w:t>
            </w:r>
          </w:p>
          <w:p>
            <w:pPr>
              <w:spacing w:line="400" w:lineRule="exact"/>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灯不亮：该设备不接收以太网数据也不处理视频信号；</w:t>
            </w:r>
          </w:p>
          <w:p>
            <w:pPr>
              <w:spacing w:line="400" w:lineRule="exact"/>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灯长亮：设备正在处理视频信号但不接收以太网数据；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w:t>
            </w:r>
          </w:p>
        </w:tc>
        <w:tc>
          <w:tcPr>
            <w:tcW w:w="1916"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2.0PRESENT</w:t>
            </w:r>
          </w:p>
        </w:tc>
        <w:tc>
          <w:tcPr>
            <w:tcW w:w="6731"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预留USB2.0功能，此版本不带这个功能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08</w:t>
            </w:r>
          </w:p>
        </w:tc>
        <w:tc>
          <w:tcPr>
            <w:tcW w:w="1916"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2.0ACTIVITY</w:t>
            </w:r>
          </w:p>
        </w:tc>
        <w:tc>
          <w:tcPr>
            <w:tcW w:w="6731"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预留USB2.0功能，此版本不带这个功能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09</w:t>
            </w:r>
          </w:p>
        </w:tc>
        <w:tc>
          <w:tcPr>
            <w:tcW w:w="1916"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HID</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ACTIVITY</w:t>
            </w:r>
          </w:p>
        </w:tc>
        <w:tc>
          <w:tcPr>
            <w:tcW w:w="6731"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预留HID功能，此版本不带这个功能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1916"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RS-232</w:t>
            </w:r>
          </w:p>
        </w:tc>
        <w:tc>
          <w:tcPr>
            <w:tcW w:w="6731" w:type="dxa"/>
            <w:vAlign w:val="center"/>
          </w:tcPr>
          <w:p>
            <w:pPr>
              <w:spacing w:line="400" w:lineRule="exact"/>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将此端口连接到RS-232设备，作为双向串行通讯，计算机与连接的RS-232 设备进行通信到另一台机子上；</w:t>
            </w:r>
          </w:p>
        </w:tc>
      </w:tr>
    </w:tbl>
    <w:p>
      <w:pPr>
        <w:spacing w:before="66"/>
        <w:rPr>
          <w:rFonts w:ascii="微软雅黑" w:hAnsi="微软雅黑" w:eastAsia="微软雅黑"/>
          <w:b/>
          <w:sz w:val="24"/>
          <w:szCs w:val="24"/>
        </w:rPr>
      </w:pPr>
    </w:p>
    <w:p>
      <w:pPr>
        <w:spacing w:before="66"/>
        <w:ind w:firstLine="480" w:firstLineChars="200"/>
        <w:rPr>
          <w:rFonts w:ascii="微软雅黑" w:hAnsi="微软雅黑" w:eastAsia="微软雅黑"/>
          <w:b/>
          <w:sz w:val="24"/>
          <w:szCs w:val="24"/>
        </w:rPr>
      </w:pPr>
      <w:r>
        <w:rPr>
          <w:rFonts w:hint="eastAsia" w:ascii="微软雅黑" w:hAnsi="微软雅黑" w:eastAsia="微软雅黑"/>
          <w:b/>
          <w:sz w:val="24"/>
          <w:szCs w:val="24"/>
        </w:rPr>
        <w:t>DN-210 E/D F  后</w:t>
      </w:r>
      <w:r>
        <w:rPr>
          <w:rFonts w:ascii="微软雅黑" w:hAnsi="微软雅黑" w:eastAsia="微软雅黑"/>
          <w:b/>
          <w:sz w:val="24"/>
          <w:szCs w:val="24"/>
        </w:rPr>
        <w:t>面板</w:t>
      </w:r>
    </w:p>
    <w:p>
      <w:pPr>
        <w:spacing w:before="66"/>
        <w:rPr>
          <w:rFonts w:ascii="微软雅黑" w:hAnsi="微软雅黑" w:eastAsia="微软雅黑"/>
          <w:b/>
          <w:sz w:val="24"/>
          <w:szCs w:val="24"/>
        </w:rPr>
      </w:pPr>
      <w:r>
        <w:rPr>
          <w:rFonts w:ascii="微软雅黑" w:hAnsi="微软雅黑" w:eastAsia="微软雅黑"/>
          <w:b/>
          <w:sz w:val="24"/>
          <w:szCs w:val="24"/>
        </w:rPr>
        <w:drawing>
          <wp:inline distT="0" distB="0" distL="0" distR="0">
            <wp:extent cx="5107305" cy="1016635"/>
            <wp:effectExtent l="0" t="0" r="7620" b="2540"/>
            <wp:docPr id="4" name="图片 3" descr="后面编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后面编号.jpg"/>
                    <pic:cNvPicPr>
                      <a:picLocks noChangeAspect="1"/>
                    </pic:cNvPicPr>
                  </pic:nvPicPr>
                  <pic:blipFill>
                    <a:blip r:embed="rId7" cstate="print"/>
                    <a:stretch>
                      <a:fillRect/>
                    </a:stretch>
                  </pic:blipFill>
                  <pic:spPr>
                    <a:xfrm>
                      <a:off x="0" y="0"/>
                      <a:ext cx="5102123" cy="1015608"/>
                    </a:xfrm>
                    <a:prstGeom prst="rect">
                      <a:avLst/>
                    </a:prstGeom>
                  </pic:spPr>
                </pic:pic>
              </a:graphicData>
            </a:graphic>
          </wp:inline>
        </w:drawing>
      </w:r>
    </w:p>
    <w:tbl>
      <w:tblPr>
        <w:tblStyle w:val="15"/>
        <w:tblW w:w="9304" w:type="dxa"/>
        <w:tblInd w:w="2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6"/>
        <w:gridCol w:w="1480"/>
        <w:gridCol w:w="70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736" w:type="dxa"/>
            <w:tcBorders>
              <w:bottom w:val="single" w:color="000000" w:sz="4" w:space="0"/>
            </w:tcBorders>
            <w:shd w:val="clear" w:color="auto" w:fill="B1B1B1"/>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480" w:type="dxa"/>
            <w:tcBorders>
              <w:bottom w:val="single" w:color="000000" w:sz="4" w:space="0"/>
            </w:tcBorders>
            <w:shd w:val="clear" w:color="auto" w:fill="B1B1B1"/>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名称</w:t>
            </w:r>
          </w:p>
        </w:tc>
        <w:tc>
          <w:tcPr>
            <w:tcW w:w="7088" w:type="dxa"/>
            <w:tcBorders>
              <w:bottom w:val="single" w:color="000000" w:sz="4" w:space="0"/>
            </w:tcBorders>
            <w:shd w:val="clear" w:color="auto" w:fill="B1B1B1"/>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736" w:type="dxa"/>
            <w:tcBorders>
              <w:top w:val="single" w:color="000000" w:sz="4" w:space="0"/>
            </w:tcBorders>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01</w:t>
            </w:r>
          </w:p>
        </w:tc>
        <w:tc>
          <w:tcPr>
            <w:tcW w:w="1480" w:type="dxa"/>
            <w:tcBorders>
              <w:top w:val="single" w:color="000000" w:sz="4" w:space="0"/>
            </w:tcBorders>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DC 12V</w:t>
            </w:r>
          </w:p>
        </w:tc>
        <w:tc>
          <w:tcPr>
            <w:tcW w:w="7088" w:type="dxa"/>
            <w:tcBorders>
              <w:top w:val="single" w:color="000000" w:sz="4" w:space="0"/>
            </w:tcBorders>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直流电源DC 12V 2.5A输入；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736"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w:t>
            </w:r>
          </w:p>
        </w:tc>
        <w:tc>
          <w:tcPr>
            <w:tcW w:w="1480"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HDMI IN</w:t>
            </w:r>
          </w:p>
        </w:tc>
        <w:tc>
          <w:tcPr>
            <w:tcW w:w="7088"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将此端口连接到HDMI信号源输出设备，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736"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03</w:t>
            </w:r>
          </w:p>
        </w:tc>
        <w:tc>
          <w:tcPr>
            <w:tcW w:w="1480"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rPr>
              <w:t xml:space="preserve">HDMI </w:t>
            </w:r>
            <w:r>
              <w:rPr>
                <w:rFonts w:hint="eastAsia" w:ascii="微软雅黑" w:hAnsi="微软雅黑" w:eastAsia="微软雅黑" w:cs="微软雅黑"/>
                <w:sz w:val="24"/>
                <w:szCs w:val="24"/>
                <w:lang w:val="en-US"/>
              </w:rPr>
              <w:t>OUT</w:t>
            </w:r>
          </w:p>
        </w:tc>
        <w:tc>
          <w:tcPr>
            <w:tcW w:w="708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rPr>
              <w:t>将此端口连接到HDMI信号源输入设备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736"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rPr>
              <w:t>04</w:t>
            </w:r>
          </w:p>
        </w:tc>
        <w:tc>
          <w:tcPr>
            <w:tcW w:w="1480"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rPr>
              <w:t xml:space="preserve">10G </w:t>
            </w:r>
            <w:r>
              <w:rPr>
                <w:rFonts w:hint="eastAsia" w:ascii="微软雅黑" w:hAnsi="微软雅黑" w:eastAsia="微软雅黑" w:cs="微软雅黑"/>
                <w:sz w:val="24"/>
                <w:szCs w:val="24"/>
                <w:lang w:val="en-US"/>
              </w:rPr>
              <w:t>FIBER</w:t>
            </w:r>
          </w:p>
        </w:tc>
        <w:tc>
          <w:tcPr>
            <w:tcW w:w="708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光纤模块插入口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736"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05</w:t>
            </w:r>
          </w:p>
        </w:tc>
        <w:tc>
          <w:tcPr>
            <w:tcW w:w="1480"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1G LAN</w:t>
            </w:r>
          </w:p>
        </w:tc>
        <w:tc>
          <w:tcPr>
            <w:tcW w:w="708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所有Tx与Rx单元均内置1GbE以太网交换机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736"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06</w:t>
            </w:r>
          </w:p>
        </w:tc>
        <w:tc>
          <w:tcPr>
            <w:tcW w:w="1480"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IR OUT</w:t>
            </w:r>
          </w:p>
        </w:tc>
        <w:tc>
          <w:tcPr>
            <w:tcW w:w="708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红外输出：将此端口连接到红外发射器，与网络上另一台设备的红外接收器进行红外通信；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736"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07</w:t>
            </w:r>
          </w:p>
        </w:tc>
        <w:tc>
          <w:tcPr>
            <w:tcW w:w="1480"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IR IN</w:t>
            </w:r>
          </w:p>
        </w:tc>
        <w:tc>
          <w:tcPr>
            <w:tcW w:w="708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红外输入：将此端口连接到红外接收器，与网络上另一台设备的红外发射器进行红外通信；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4" w:hRule="exact"/>
        </w:trPr>
        <w:tc>
          <w:tcPr>
            <w:tcW w:w="736"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08</w:t>
            </w:r>
          </w:p>
        </w:tc>
        <w:tc>
          <w:tcPr>
            <w:tcW w:w="1480"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AUDIO</w:t>
            </w:r>
          </w:p>
          <w:p>
            <w:pPr>
              <w:jc w:val="both"/>
              <w:rPr>
                <w:rFonts w:hint="eastAsia" w:ascii="微软雅黑" w:hAnsi="微软雅黑" w:eastAsia="微软雅黑" w:cs="微软雅黑"/>
                <w:sz w:val="24"/>
                <w:szCs w:val="24"/>
                <w:lang w:val="en-US"/>
              </w:rPr>
            </w:pPr>
          </w:p>
        </w:tc>
        <w:tc>
          <w:tcPr>
            <w:tcW w:w="708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软件定义，（TX单元）音频输入：将此端口连接至音频输出设备，如MP3,DVD或电脑以进行音频输入；（RX单元）音频输出：将此端口连接至音频输入设备，如放大器，扬声器或耳机以进行音频出</w:t>
            </w:r>
          </w:p>
        </w:tc>
      </w:tr>
    </w:tbl>
    <w:p>
      <w:pPr>
        <w:jc w:val="left"/>
        <w:rPr>
          <w:rFonts w:hint="eastAsia" w:ascii="微软雅黑" w:hAnsi="微软雅黑" w:eastAsia="微软雅黑" w:cs="微软雅黑"/>
          <w:sz w:val="24"/>
          <w:szCs w:val="24"/>
        </w:rPr>
      </w:pPr>
    </w:p>
    <w:p>
      <w:pPr>
        <w:spacing w:line="260" w:lineRule="atLeast"/>
        <w:ind w:firstLine="360" w:firstLineChars="100"/>
        <w:outlineLvl w:val="9"/>
        <w:rPr>
          <w:rFonts w:ascii="Arial" w:hAnsi="Arial" w:eastAsia="微软雅黑" w:cs="Arial"/>
          <w:b/>
          <w:bCs/>
          <w:sz w:val="36"/>
          <w:szCs w:val="36"/>
        </w:rPr>
      </w:pPr>
    </w:p>
    <w:p>
      <w:pPr>
        <w:spacing w:line="260" w:lineRule="atLeast"/>
        <w:outlineLvl w:val="9"/>
        <w:rPr>
          <w:rFonts w:ascii="Arial" w:hAnsi="Arial" w:eastAsia="微软雅黑" w:cs="Arial"/>
          <w:b/>
          <w:bCs/>
          <w:sz w:val="36"/>
          <w:szCs w:val="36"/>
        </w:rPr>
      </w:pPr>
    </w:p>
    <w:p>
      <w:pPr>
        <w:spacing w:line="260" w:lineRule="atLeast"/>
        <w:ind w:firstLine="360" w:firstLineChars="100"/>
        <w:outlineLvl w:val="0"/>
        <w:rPr>
          <w:rFonts w:ascii="Arial" w:hAnsi="Arial" w:eastAsia="微软雅黑" w:cs="Arial"/>
          <w:b/>
          <w:bCs/>
          <w:sz w:val="36"/>
          <w:szCs w:val="36"/>
        </w:rPr>
      </w:pPr>
      <w:bookmarkStart w:id="29" w:name="_Toc10141"/>
      <w:r>
        <w:rPr>
          <w:rFonts w:hint="eastAsia" w:ascii="Arial" w:hAnsi="Arial" w:eastAsia="微软雅黑" w:cs="Arial"/>
          <w:b/>
          <w:bCs/>
          <w:sz w:val="36"/>
          <w:szCs w:val="36"/>
        </w:rPr>
        <w:t>五、产品规格</w:t>
      </w:r>
      <w:bookmarkEnd w:id="29"/>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5"/>
        <w:gridCol w:w="6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9499" w:type="dxa"/>
            <w:gridSpan w:val="2"/>
            <w:tcBorders>
              <w:left w:val="single" w:color="000000" w:sz="6" w:space="0"/>
              <w:bottom w:val="single" w:color="000000" w:sz="2" w:space="0"/>
            </w:tcBorders>
            <w:shd w:val="clear" w:color="auto" w:fill="B1B1B1"/>
            <w:vAlign w:val="center"/>
          </w:tcPr>
          <w:p>
            <w:pPr>
              <w:ind w:firstLine="241" w:firstLineChars="100"/>
              <w:jc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kern w:val="2"/>
                <w:sz w:val="24"/>
                <w:szCs w:val="24"/>
                <w:highlight w:val="none"/>
                <w:lang w:val="en-US" w:eastAsia="zh-CN" w:bidi="ar-SA"/>
              </w:rPr>
              <w:t>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2" w:space="0"/>
              <w:left w:val="single" w:color="000000" w:sz="6" w:space="0"/>
              <w:right w:val="single" w:color="000000" w:sz="6" w:space="0"/>
            </w:tcBorders>
            <w:vAlign w:val="center"/>
          </w:tcPr>
          <w:p>
            <w:pPr>
              <w:pStyle w:val="34"/>
              <w:spacing w:before="14"/>
              <w:ind w:firstLine="200" w:firstLineChars="10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视频</w:t>
            </w:r>
          </w:p>
          <w:p>
            <w:pPr>
              <w:pStyle w:val="34"/>
              <w:spacing w:line="124" w:lineRule="exact"/>
              <w:jc w:val="both"/>
              <w:rPr>
                <w:rFonts w:hint="eastAsia" w:asciiTheme="minorEastAsia" w:hAnsiTheme="minorEastAsia" w:eastAsiaTheme="minorEastAsia" w:cstheme="minorEastAsia"/>
                <w:sz w:val="20"/>
                <w:szCs w:val="20"/>
                <w:lang w:val="en-US"/>
              </w:rPr>
            </w:pPr>
          </w:p>
        </w:tc>
        <w:tc>
          <w:tcPr>
            <w:tcW w:w="6754" w:type="dxa"/>
            <w:tcBorders>
              <w:top w:val="single" w:color="000000" w:sz="2" w:space="0"/>
              <w:left w:val="single" w:color="000000" w:sz="6" w:space="0"/>
            </w:tcBorders>
            <w:vAlign w:val="center"/>
          </w:tcPr>
          <w:p>
            <w:pPr>
              <w:pStyle w:val="34"/>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HDMI V2.0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left w:val="single" w:color="000000" w:sz="6" w:space="0"/>
              <w:bottom w:val="single" w:color="000000" w:sz="6" w:space="0"/>
              <w:right w:val="single" w:color="000000" w:sz="6" w:space="0"/>
            </w:tcBorders>
            <w:vAlign w:val="center"/>
          </w:tcPr>
          <w:p>
            <w:pPr>
              <w:pStyle w:val="34"/>
              <w:spacing w:before="6"/>
              <w:ind w:firstLine="200" w:firstLineChars="10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HDCP</w:t>
            </w:r>
          </w:p>
          <w:p>
            <w:pPr>
              <w:pStyle w:val="34"/>
              <w:spacing w:line="101" w:lineRule="exact"/>
              <w:ind w:left="162"/>
              <w:jc w:val="both"/>
              <w:rPr>
                <w:rFonts w:hint="eastAsia" w:asciiTheme="minorEastAsia" w:hAnsiTheme="minorEastAsia" w:eastAsiaTheme="minorEastAsia" w:cstheme="minorEastAsia"/>
                <w:sz w:val="20"/>
                <w:szCs w:val="20"/>
                <w:lang w:val="en-US"/>
              </w:rPr>
            </w:pPr>
          </w:p>
        </w:tc>
        <w:tc>
          <w:tcPr>
            <w:tcW w:w="6754" w:type="dxa"/>
            <w:tcBorders>
              <w:left w:val="single" w:color="000000" w:sz="6" w:space="0"/>
              <w:bottom w:val="single" w:color="000000" w:sz="6" w:space="0"/>
            </w:tcBorders>
            <w:vAlign w:val="center"/>
          </w:tcPr>
          <w:p>
            <w:pPr>
              <w:pStyle w:val="34"/>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HPCP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pStyle w:val="34"/>
              <w:ind w:firstLine="200" w:firstLineChars="10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嵌入音频</w:t>
            </w:r>
          </w:p>
        </w:tc>
        <w:tc>
          <w:tcPr>
            <w:tcW w:w="6754" w:type="dxa"/>
            <w:tcBorders>
              <w:top w:val="single" w:color="000000" w:sz="6" w:space="0"/>
              <w:left w:val="single" w:color="000000" w:sz="6" w:space="0"/>
              <w:bottom w:val="single" w:color="000000" w:sz="6" w:space="0"/>
            </w:tcBorders>
            <w:vAlign w:val="center"/>
          </w:tcPr>
          <w:p>
            <w:pPr>
              <w:widowControl/>
              <w:spacing w:line="400" w:lineRule="exact"/>
              <w:ind w:firstLine="100" w:firstLineChars="5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支持HDMI 嵌入式 LPCM音频，高达 24比特 192kHz的采样频率</w:t>
            </w:r>
          </w:p>
          <w:p>
            <w:pPr>
              <w:widowControl/>
              <w:spacing w:line="400" w:lineRule="exact"/>
              <w:ind w:left="105" w:leftChars="5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支持嵌入式 HBR音频格式：如 Dolby TRUEHD,已经DTS-HD Master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right w:val="single" w:color="000000" w:sz="6" w:space="0"/>
            </w:tcBorders>
            <w:vAlign w:val="center"/>
          </w:tcPr>
          <w:p>
            <w:pPr>
              <w:pStyle w:val="34"/>
              <w:ind w:firstLine="200" w:firstLineChars="10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外部音频</w:t>
            </w:r>
          </w:p>
        </w:tc>
        <w:tc>
          <w:tcPr>
            <w:tcW w:w="6754" w:type="dxa"/>
            <w:tcBorders>
              <w:top w:val="single" w:color="000000" w:sz="6" w:space="0"/>
              <w:left w:val="single" w:color="000000" w:sz="6" w:space="0"/>
            </w:tcBorders>
            <w:vAlign w:val="center"/>
          </w:tcPr>
          <w:p>
            <w:pPr>
              <w:widowControl/>
              <w:ind w:firstLine="100" w:firstLineChars="5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双通道模拟声音频输入与输出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基于 网络的音频</w:t>
            </w:r>
          </w:p>
          <w:p>
            <w:pPr>
              <w:pStyle w:val="34"/>
              <w:spacing w:line="127" w:lineRule="exact"/>
              <w:ind w:left="150"/>
              <w:jc w:val="both"/>
              <w:rPr>
                <w:rFonts w:hint="eastAsia" w:asciiTheme="minorEastAsia" w:hAnsiTheme="minorEastAsia" w:eastAsiaTheme="minorEastAsia" w:cstheme="minorEastAsia"/>
                <w:sz w:val="20"/>
                <w:szCs w:val="20"/>
              </w:rPr>
            </w:pPr>
          </w:p>
        </w:tc>
        <w:tc>
          <w:tcPr>
            <w:tcW w:w="6754" w:type="dxa"/>
            <w:tcBorders>
              <w:left w:val="single" w:color="000000" w:sz="6" w:space="0"/>
              <w:bottom w:val="single" w:color="000000" w:sz="6" w:space="0"/>
            </w:tcBorders>
            <w:vAlign w:val="center"/>
          </w:tcPr>
          <w:p>
            <w:pPr>
              <w:widowControl/>
              <w:ind w:firstLine="100" w:firstLineChars="5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支持利用 1GbE端口对网络化音频进行传递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以太网</w:t>
            </w:r>
          </w:p>
          <w:p>
            <w:pPr>
              <w:pStyle w:val="34"/>
              <w:spacing w:line="124" w:lineRule="exact"/>
              <w:ind w:left="155"/>
              <w:jc w:val="both"/>
              <w:rPr>
                <w:rFonts w:hint="eastAsia" w:asciiTheme="minorEastAsia" w:hAnsiTheme="minorEastAsia" w:eastAsiaTheme="minorEastAsia" w:cstheme="minorEastAsia"/>
                <w:sz w:val="20"/>
                <w:szCs w:val="20"/>
              </w:rPr>
            </w:pPr>
          </w:p>
        </w:tc>
        <w:tc>
          <w:tcPr>
            <w:tcW w:w="6754" w:type="dxa"/>
            <w:tcBorders>
              <w:top w:val="single" w:color="000000" w:sz="6" w:space="0"/>
              <w:left w:val="single" w:color="000000" w:sz="6" w:space="0"/>
            </w:tcBorders>
            <w:vAlign w:val="center"/>
          </w:tcPr>
          <w:p>
            <w:pPr>
              <w:widowControl/>
              <w:ind w:firstLine="100" w:firstLineChars="5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所有 TX与 RX单元均内置 1GbE以太网交换机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RS 232 - 控制</w:t>
            </w:r>
          </w:p>
          <w:p>
            <w:pPr>
              <w:pStyle w:val="34"/>
              <w:spacing w:line="124" w:lineRule="exact"/>
              <w:ind w:left="162"/>
              <w:jc w:val="both"/>
              <w:rPr>
                <w:rFonts w:hint="eastAsia" w:asciiTheme="minorEastAsia" w:hAnsiTheme="minorEastAsia" w:eastAsiaTheme="minorEastAsia" w:cstheme="minorEastAsia"/>
                <w:sz w:val="20"/>
                <w:szCs w:val="20"/>
              </w:rPr>
            </w:pPr>
          </w:p>
        </w:tc>
        <w:tc>
          <w:tcPr>
            <w:tcW w:w="6754" w:type="dxa"/>
            <w:tcBorders>
              <w:left w:val="single" w:color="000000" w:sz="6" w:space="0"/>
              <w:bottom w:val="single" w:color="000000" w:sz="6" w:space="0"/>
            </w:tcBorders>
            <w:vAlign w:val="center"/>
          </w:tcPr>
          <w:p>
            <w:pPr>
              <w:widowControl/>
              <w:ind w:firstLine="100" w:firstLineChars="5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支持双向RS - 232传递，最高可达波特率115200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2"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IR控制</w:t>
            </w:r>
          </w:p>
        </w:tc>
        <w:tc>
          <w:tcPr>
            <w:tcW w:w="6754" w:type="dxa"/>
            <w:tcBorders>
              <w:top w:val="single" w:color="000000" w:sz="6" w:space="0"/>
              <w:left w:val="single" w:color="000000" w:sz="6" w:space="0"/>
              <w:bottom w:val="single" w:color="000000" w:sz="2" w:space="0"/>
            </w:tcBorders>
            <w:vAlign w:val="center"/>
          </w:tcPr>
          <w:p>
            <w:pPr>
              <w:widowControl/>
              <w:ind w:firstLine="100" w:firstLineChars="5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支持双向IR传递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9499" w:type="dxa"/>
            <w:gridSpan w:val="2"/>
            <w:tcBorders>
              <w:top w:val="single" w:color="000000" w:sz="2" w:space="0"/>
              <w:left w:val="single" w:color="000000" w:sz="6" w:space="0"/>
            </w:tcBorders>
            <w:shd w:val="clear" w:color="auto" w:fill="B1B1B1"/>
            <w:vAlign w:val="center"/>
          </w:tcPr>
          <w:p>
            <w:pPr>
              <w:pStyle w:val="34"/>
              <w:ind w:firstLine="241" w:firstLineChars="10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b/>
                <w:kern w:val="2"/>
                <w:sz w:val="24"/>
                <w:szCs w:val="24"/>
                <w:highlight w:val="none"/>
                <w:lang w:val="en-US" w:eastAsia="zh-CN" w:bidi="ar-SA"/>
              </w:rPr>
              <w:t>连接指示灯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HDMI输入/ 输出</w:t>
            </w:r>
          </w:p>
        </w:tc>
        <w:tc>
          <w:tcPr>
            <w:tcW w:w="6754" w:type="dxa"/>
            <w:tcBorders>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HDMI TypeA接口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1GbE端口</w:t>
            </w:r>
          </w:p>
        </w:tc>
        <w:tc>
          <w:tcPr>
            <w:tcW w:w="6754" w:type="dxa"/>
            <w:tcBorders>
              <w:top w:val="single" w:color="000000" w:sz="6" w:space="0"/>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RJ45接口以及LED指示灯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RS232</w:t>
            </w:r>
          </w:p>
        </w:tc>
        <w:tc>
          <w:tcPr>
            <w:tcW w:w="6754" w:type="dxa"/>
            <w:tcBorders>
              <w:top w:val="single" w:color="000000" w:sz="6" w:space="0"/>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1x 3-pin 3.5mm 标准，Phoenix接口，与 Phoenix1844223 配合使用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IR控制</w:t>
            </w:r>
          </w:p>
        </w:tc>
        <w:tc>
          <w:tcPr>
            <w:tcW w:w="6754" w:type="dxa"/>
            <w:tcBorders>
              <w:top w:val="single" w:color="000000" w:sz="6" w:space="0"/>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1x IR输入：3.5mm  立体声迷你插孔</w:t>
            </w:r>
          </w:p>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1x IR输出：3.5mm  迷你插孔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exact"/>
          <w:jc w:val="center"/>
        </w:trPr>
        <w:tc>
          <w:tcPr>
            <w:tcW w:w="9499" w:type="dxa"/>
            <w:gridSpan w:val="2"/>
            <w:tcBorders>
              <w:top w:val="single" w:color="000000" w:sz="6" w:space="0"/>
              <w:left w:val="single" w:color="000000" w:sz="6" w:space="0"/>
              <w:bottom w:val="single" w:color="000000" w:sz="6" w:space="0"/>
              <w:right w:val="single" w:color="000000" w:sz="4" w:space="0"/>
            </w:tcBorders>
            <w:shd w:val="clear" w:color="auto" w:fill="A5A5A5" w:themeFill="background1" w:themeFillShade="A6"/>
            <w:vAlign w:val="center"/>
          </w:tcPr>
          <w:p>
            <w:pPr>
              <w:widowControl/>
              <w:spacing w:line="400" w:lineRule="exact"/>
              <w:ind w:firstLine="120" w:firstLineChars="50"/>
              <w:jc w:val="center"/>
              <w:rPr>
                <w:rFonts w:hint="eastAsia"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kern w:val="2"/>
                <w:sz w:val="24"/>
                <w:szCs w:val="24"/>
                <w:highlight w:val="none"/>
                <w:lang w:val="en-US" w:eastAsia="zh-CN" w:bidi="ar-SA"/>
              </w:rPr>
              <w:t>视频格式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最大像素时钟频率</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支持的像素时钟率达596MHZ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支持的分辨率</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最高支持的分辨率达4096*2160@60HZ(4:4:4)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视频信号延迟</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&lt;1ms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10GBE交换机要求</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要求的功能：10GBE,无闭塞，第二层，通过IGMP监听进行多路传送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支持的输入输出端口数量</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输入输出矩阵仅受限于10GBE网络交换机的大小（端口数量）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光纤传输距离</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受限于光模块类型最远传输10KM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9499" w:type="dxa"/>
            <w:gridSpan w:val="2"/>
            <w:tcBorders>
              <w:top w:val="single" w:color="000000" w:sz="6" w:space="0"/>
              <w:left w:val="single" w:color="000000" w:sz="6" w:space="0"/>
              <w:bottom w:val="single" w:color="000000" w:sz="6" w:space="0"/>
              <w:right w:val="single" w:color="000000" w:sz="4" w:space="0"/>
            </w:tcBorders>
            <w:shd w:val="clear" w:color="auto" w:fill="A5A5A5" w:themeFill="background1" w:themeFillShade="A6"/>
            <w:vAlign w:val="center"/>
          </w:tcPr>
          <w:p>
            <w:pPr>
              <w:widowControl/>
              <w:spacing w:line="400" w:lineRule="exact"/>
              <w:ind w:firstLine="120" w:firstLineChars="5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b/>
                <w:kern w:val="2"/>
                <w:sz w:val="24"/>
                <w:szCs w:val="24"/>
                <w:highlight w:val="none"/>
                <w:lang w:val="en-US" w:eastAsia="zh-CN" w:bidi="ar-SA"/>
              </w:rPr>
              <w:t>操作模式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矩阵交换模式</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任何大小的I/O阵列都可以进行完全无闭塞的交叉点路由——仅受限于10GbE交换机的大小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视频墙模式</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使用基本的像素分配方法，可支持视频墙显示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点对点模式</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支持点对点信号扩展，使用光纤连接最大传输距离10KM.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画面分割模式</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支持单屏画面最大32分割功能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9499" w:type="dxa"/>
            <w:gridSpan w:val="2"/>
            <w:tcBorders>
              <w:top w:val="single" w:color="000000" w:sz="6" w:space="0"/>
              <w:left w:val="single" w:color="000000" w:sz="6" w:space="0"/>
              <w:bottom w:val="single" w:color="000000" w:sz="6" w:space="0"/>
              <w:right w:val="single" w:color="000000" w:sz="4" w:space="0"/>
            </w:tcBorders>
            <w:shd w:val="clear" w:color="auto" w:fill="BEBEBE" w:themeFill="background1" w:themeFillShade="BF"/>
            <w:vAlign w:val="center"/>
          </w:tcPr>
          <w:p>
            <w:pPr>
              <w:widowControl/>
              <w:spacing w:line="400" w:lineRule="exact"/>
              <w:ind w:firstLine="120" w:firstLineChars="5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b/>
                <w:kern w:val="2"/>
                <w:sz w:val="24"/>
                <w:szCs w:val="24"/>
                <w:highlight w:val="none"/>
                <w:lang w:val="en-US" w:eastAsia="zh-CN" w:bidi="ar-SA"/>
              </w:rPr>
              <w:t>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典型电力消耗</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外部交流电适配器</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输入：100-240VAC、50-60HZ/输出：+12VDC@2.5A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9499" w:type="dxa"/>
            <w:gridSpan w:val="2"/>
            <w:tcBorders>
              <w:top w:val="single" w:color="000000" w:sz="6" w:space="0"/>
              <w:left w:val="single" w:color="000000" w:sz="6" w:space="0"/>
              <w:bottom w:val="single" w:color="000000" w:sz="6" w:space="0"/>
              <w:right w:val="single" w:color="000000" w:sz="4" w:space="0"/>
            </w:tcBorders>
            <w:shd w:val="clear" w:color="auto" w:fill="BEBEBE" w:themeFill="background1" w:themeFillShade="BF"/>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kern w:val="2"/>
                <w:sz w:val="24"/>
                <w:szCs w:val="24"/>
                <w:highlight w:val="none"/>
                <w:lang w:val="en-US" w:eastAsia="zh-CN" w:bidi="ar-SA"/>
              </w:rPr>
              <w:t>机械规格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结构</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铝壳，蓝色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尺寸</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单位尺寸：227X135X30（MM）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重量</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单位重量：1.1KG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9499" w:type="dxa"/>
            <w:gridSpan w:val="2"/>
            <w:tcBorders>
              <w:top w:val="single" w:color="000000" w:sz="6" w:space="0"/>
              <w:left w:val="single" w:color="000000" w:sz="6" w:space="0"/>
              <w:bottom w:val="single" w:color="000000" w:sz="6" w:space="0"/>
              <w:right w:val="single" w:color="000000" w:sz="4" w:space="0"/>
            </w:tcBorders>
            <w:shd w:val="clear" w:color="auto" w:fill="BEBEBE" w:themeFill="background1" w:themeFillShade="BF"/>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kern w:val="2"/>
                <w:sz w:val="24"/>
                <w:szCs w:val="24"/>
                <w:highlight w:val="none"/>
                <w:lang w:val="en-US" w:eastAsia="zh-CN" w:bidi="ar-SA"/>
              </w:rPr>
              <w:t>环境规格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工作温度（环境）</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+32°至104°F(0°t+40°C）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典型外表温度</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Tx单元：98.6°F（37°C）；Rx单元：105.8°F（41°C）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存储温度（环境）</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-4°至+158°F（-20°to+70°C）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745"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工作/存储湿度</w:t>
            </w:r>
          </w:p>
        </w:tc>
        <w:tc>
          <w:tcPr>
            <w:tcW w:w="6754"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10%至90%（不凝固）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9499" w:type="dxa"/>
            <w:gridSpan w:val="2"/>
            <w:tcBorders>
              <w:top w:val="single" w:color="000000" w:sz="6" w:space="0"/>
              <w:left w:val="single" w:color="000000" w:sz="6" w:space="0"/>
              <w:bottom w:val="single" w:color="000000" w:sz="6" w:space="0"/>
              <w:right w:val="single" w:color="000000" w:sz="4" w:space="0"/>
            </w:tcBorders>
            <w:shd w:val="clear" w:color="auto" w:fill="BEBEBE" w:themeFill="background1" w:themeFillShade="BF"/>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kern w:val="2"/>
                <w:sz w:val="24"/>
                <w:szCs w:val="24"/>
                <w:highlight w:val="none"/>
                <w:lang w:val="en-US" w:eastAsia="zh-CN" w:bidi="ar-SA"/>
              </w:rPr>
              <w:t>保修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exact"/>
          <w:jc w:val="center"/>
        </w:trPr>
        <w:tc>
          <w:tcPr>
            <w:tcW w:w="2745"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保修期</w:t>
            </w:r>
          </w:p>
        </w:tc>
        <w:tc>
          <w:tcPr>
            <w:tcW w:w="6754"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壹年零部件保修</w:t>
            </w:r>
          </w:p>
        </w:tc>
      </w:tr>
    </w:tbl>
    <w:p>
      <w:pPr>
        <w:spacing w:line="260" w:lineRule="atLeast"/>
        <w:jc w:val="center"/>
        <w:outlineLvl w:val="0"/>
        <w:rPr>
          <w:rFonts w:hint="eastAsia" w:asciiTheme="minorEastAsia" w:hAnsiTheme="minorEastAsia" w:eastAsiaTheme="minorEastAsia" w:cstheme="minorEastAsia"/>
          <w:b/>
          <w:bCs/>
          <w:sz w:val="20"/>
          <w:szCs w:val="20"/>
        </w:rPr>
      </w:pPr>
    </w:p>
    <w:p>
      <w:pPr>
        <w:pStyle w:val="2"/>
        <w:jc w:val="both"/>
        <w:rPr>
          <w:rFonts w:hint="eastAsia" w:ascii="微软雅黑" w:hAnsi="微软雅黑" w:eastAsia="微软雅黑" w:cstheme="minorBidi"/>
          <w:kern w:val="2"/>
          <w:sz w:val="24"/>
          <w:szCs w:val="24"/>
          <w:lang w:val="en-US" w:eastAsia="zh-CN" w:bidi="ar-SA"/>
        </w:rPr>
      </w:pPr>
    </w:p>
    <w:sectPr>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思源黑体 CN Heavy">
    <w:altName w:val="黑体"/>
    <w:panose1 w:val="020B0A00000000000000"/>
    <w:charset w:val="86"/>
    <w:family w:val="swiss"/>
    <w:pitch w:val="default"/>
    <w:sig w:usb0="00000000" w:usb1="00000000" w:usb2="00000016" w:usb3="00000000" w:csb0="00060107" w:csb1="00000000"/>
  </w:font>
  <w:font w:name="思源黑体 CN Light">
    <w:altName w:val="黑体"/>
    <w:panose1 w:val="020B0300000000000000"/>
    <w:charset w:val="86"/>
    <w:family w:val="swiss"/>
    <w:pitch w:val="default"/>
    <w:sig w:usb0="00000000" w:usb1="00000000" w:usb2="00000016" w:usb3="00000000" w:csb0="0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5688330</wp:posOffset>
          </wp:positionH>
          <wp:positionV relativeFrom="paragraph">
            <wp:posOffset>121920</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0E8AC"/>
    <w:multiLevelType w:val="singleLevel"/>
    <w:tmpl w:val="0EE0E8AC"/>
    <w:lvl w:ilvl="0" w:tentative="0">
      <w:start w:val="1"/>
      <w:numFmt w:val="chineseCounting"/>
      <w:suff w:val="nothing"/>
      <w:lvlText w:val="%1、"/>
      <w:lvlJc w:val="left"/>
      <w:rPr>
        <w:rFonts w:hint="eastAsia"/>
      </w:rPr>
    </w:lvl>
  </w:abstractNum>
  <w:abstractNum w:abstractNumId="1">
    <w:nsid w:val="51A80EE6"/>
    <w:multiLevelType w:val="singleLevel"/>
    <w:tmpl w:val="51A80EE6"/>
    <w:lvl w:ilvl="0" w:tentative="0">
      <w:start w:val="1"/>
      <w:numFmt w:val="bullet"/>
      <w:lvlText w:val=""/>
      <w:lvlJc w:val="left"/>
      <w:pPr>
        <w:ind w:left="420" w:hanging="420"/>
      </w:pPr>
      <w:rPr>
        <w:rFonts w:hint="default" w:ascii="Wingdings" w:hAnsi="Wingdings"/>
      </w:rPr>
    </w:lvl>
  </w:abstractNum>
  <w:abstractNum w:abstractNumId="2">
    <w:nsid w:val="77198EB8"/>
    <w:multiLevelType w:val="singleLevel"/>
    <w:tmpl w:val="77198EB8"/>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9A3E22"/>
    <w:rsid w:val="04B213C1"/>
    <w:rsid w:val="057E74F5"/>
    <w:rsid w:val="05A131E3"/>
    <w:rsid w:val="06B35455"/>
    <w:rsid w:val="06C07946"/>
    <w:rsid w:val="09174AAC"/>
    <w:rsid w:val="0A9F4195"/>
    <w:rsid w:val="0B5F56D3"/>
    <w:rsid w:val="0B6D6042"/>
    <w:rsid w:val="101C440E"/>
    <w:rsid w:val="10645539"/>
    <w:rsid w:val="11074842"/>
    <w:rsid w:val="114E06C3"/>
    <w:rsid w:val="11C91AF8"/>
    <w:rsid w:val="12066D21"/>
    <w:rsid w:val="15E2762C"/>
    <w:rsid w:val="16CA259A"/>
    <w:rsid w:val="17D80473"/>
    <w:rsid w:val="183028D1"/>
    <w:rsid w:val="18D94D16"/>
    <w:rsid w:val="1C024584"/>
    <w:rsid w:val="1D61352C"/>
    <w:rsid w:val="1DDE692B"/>
    <w:rsid w:val="1E7B061E"/>
    <w:rsid w:val="1F0B7BF4"/>
    <w:rsid w:val="1F14208B"/>
    <w:rsid w:val="207F7B8E"/>
    <w:rsid w:val="213A28E9"/>
    <w:rsid w:val="21F11323"/>
    <w:rsid w:val="22EA5D72"/>
    <w:rsid w:val="24561911"/>
    <w:rsid w:val="25800FD6"/>
    <w:rsid w:val="26A34BB6"/>
    <w:rsid w:val="2A6428AE"/>
    <w:rsid w:val="2B847C6D"/>
    <w:rsid w:val="2D1C7470"/>
    <w:rsid w:val="2D870D8D"/>
    <w:rsid w:val="2E335B48"/>
    <w:rsid w:val="302C5C1C"/>
    <w:rsid w:val="309D132D"/>
    <w:rsid w:val="30B34BAF"/>
    <w:rsid w:val="311A1F18"/>
    <w:rsid w:val="315E1E05"/>
    <w:rsid w:val="319620CE"/>
    <w:rsid w:val="31D34E99"/>
    <w:rsid w:val="35AA386B"/>
    <w:rsid w:val="38DC5587"/>
    <w:rsid w:val="39616936"/>
    <w:rsid w:val="3C4D4F50"/>
    <w:rsid w:val="3DFC6C2D"/>
    <w:rsid w:val="3DFE0BF8"/>
    <w:rsid w:val="3F163D1F"/>
    <w:rsid w:val="402C30CE"/>
    <w:rsid w:val="445F194D"/>
    <w:rsid w:val="449F6565"/>
    <w:rsid w:val="45E5269D"/>
    <w:rsid w:val="4D16516C"/>
    <w:rsid w:val="4E870795"/>
    <w:rsid w:val="4E9764FE"/>
    <w:rsid w:val="4EA8496E"/>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5CEC5C67"/>
    <w:rsid w:val="5DC35DD5"/>
    <w:rsid w:val="5E543AC4"/>
    <w:rsid w:val="61AA1D5B"/>
    <w:rsid w:val="62053A53"/>
    <w:rsid w:val="64BE25DF"/>
    <w:rsid w:val="659856DB"/>
    <w:rsid w:val="677671A1"/>
    <w:rsid w:val="690A736D"/>
    <w:rsid w:val="69586B5E"/>
    <w:rsid w:val="6C044D7B"/>
    <w:rsid w:val="6DE035C6"/>
    <w:rsid w:val="6EAD133E"/>
    <w:rsid w:val="6F7C10CD"/>
    <w:rsid w:val="74065409"/>
    <w:rsid w:val="74121C10"/>
    <w:rsid w:val="746C5BB4"/>
    <w:rsid w:val="74AF580F"/>
    <w:rsid w:val="74FC0CE6"/>
    <w:rsid w:val="75575E46"/>
    <w:rsid w:val="759E7FEF"/>
    <w:rsid w:val="76E93A99"/>
    <w:rsid w:val="77316C41"/>
    <w:rsid w:val="77BE6DDB"/>
    <w:rsid w:val="77BF424C"/>
    <w:rsid w:val="77EC376A"/>
    <w:rsid w:val="794932DF"/>
    <w:rsid w:val="7B1D27FC"/>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semiHidden/>
    <w:unhideWhenUsed/>
    <w:qFormat/>
    <w:uiPriority w:val="39"/>
    <w:pPr>
      <w:ind w:left="420" w:leftChars="200"/>
    </w:p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jpeg"/><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2449</Words>
  <Characters>3089</Characters>
  <Lines>6</Lines>
  <Paragraphs>1</Paragraphs>
  <TotalTime>72</TotalTime>
  <ScaleCrop>false</ScaleCrop>
  <LinksUpToDate>false</LinksUpToDate>
  <CharactersWithSpaces>3181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2022-12-20T01:56:35Z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E27E8C7213EE4BFBA7F2EBB8E124AFD4</vt:lpwstr>
  </property>
</Properties>
</file>