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0" w:lineRule="atLeast"/>
        <w:ind w:firstLine="2161" w:firstLineChars="300"/>
        <w:jc w:val="both"/>
        <w:rPr>
          <w:rFonts w:hint="eastAsia" w:ascii="微软雅黑" w:hAnsi="微软雅黑" w:eastAsia="微软雅黑" w:cs="微软雅黑"/>
          <w:b/>
          <w:bCs/>
          <w:sz w:val="72"/>
          <w:szCs w:val="72"/>
        </w:rPr>
      </w:pPr>
      <w:bookmarkStart w:id="0" w:name="_Hlk34051380"/>
    </w:p>
    <w:p>
      <w:pPr>
        <w:keepNext w:val="0"/>
        <w:keepLines w:val="0"/>
        <w:pageBreakBefore w:val="0"/>
        <w:kinsoku/>
        <w:wordWrap/>
        <w:overflowPunct/>
        <w:topLinePunct w:val="0"/>
        <w:autoSpaceDE/>
        <w:autoSpaceDN/>
        <w:bidi w:val="0"/>
        <w:adjustRightInd/>
        <w:snapToGrid/>
        <w:spacing w:line="260" w:lineRule="atLeast"/>
        <w:ind w:firstLine="2161" w:firstLineChars="300"/>
        <w:jc w:val="both"/>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LCD智慧会议屏</w:t>
      </w:r>
    </w:p>
    <w:p>
      <w:pPr>
        <w:pStyle w:val="2"/>
        <w:rPr>
          <w:rFonts w:hint="eastAsia"/>
        </w:rPr>
      </w:pP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p>
      <w:pPr>
        <w:jc w:val="center"/>
        <w:rPr>
          <w:rFonts w:ascii="微软雅黑" w:hAnsi="微软雅黑" w:eastAsia="微软雅黑"/>
          <w:b/>
          <w:sz w:val="52"/>
          <w:szCs w:val="52"/>
        </w:rPr>
      </w:pPr>
      <w:r>
        <w:rPr>
          <w:rFonts w:hint="eastAsia" w:ascii="微软雅黑" w:hAnsi="微软雅黑" w:eastAsia="微软雅黑"/>
          <w:b/>
          <w:sz w:val="52"/>
          <w:szCs w:val="52"/>
          <w:lang w:val="en-US" w:eastAsia="zh-CN"/>
        </w:rPr>
        <w:t>USB视频会议一体机</w:t>
      </w:r>
    </w:p>
    <w:bookmarkEnd w:id="0"/>
    <w:p>
      <w:pPr>
        <w:jc w:val="center"/>
        <w:rPr>
          <w:rFonts w:ascii="微软雅黑" w:hAnsi="微软雅黑" w:eastAsia="微软雅黑"/>
          <w:color w:val="1E1916"/>
          <w:w w:val="110"/>
          <w:sz w:val="36"/>
          <w:szCs w:val="36"/>
        </w:rPr>
      </w:pPr>
      <w:bookmarkStart w:id="1" w:name="_GoBack"/>
      <w:r>
        <w:rPr>
          <w:rFonts w:hint="eastAsia" w:ascii="微软雅黑" w:hAnsi="微软雅黑" w:eastAsia="微软雅黑"/>
          <w:color w:val="1E1916"/>
          <w:w w:val="110"/>
          <w:sz w:val="36"/>
          <w:szCs w:val="36"/>
        </w:rPr>
        <w:t>DC-C200</w:t>
      </w:r>
    </w:p>
    <w:bookmarkEnd w:id="1"/>
    <w:p>
      <w:pPr>
        <w:pStyle w:val="2"/>
        <w:rPr>
          <w:rFonts w:ascii="微软雅黑" w:hAnsi="微软雅黑" w:eastAsia="微软雅黑"/>
          <w:color w:val="1E1916"/>
          <w:w w:val="110"/>
          <w:sz w:val="36"/>
          <w:szCs w:val="36"/>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pStyle w:val="2"/>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LCD智慧屏</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ind w:firstLine="480" w:firstLineChars="200"/>
        <w:jc w:val="left"/>
        <w:rPr>
          <w:rFonts w:hint="eastAsia" w:ascii="Arial" w:hAnsi="Arial" w:eastAsia="微软雅黑" w:cs="Arial"/>
          <w:sz w:val="24"/>
          <w:szCs w:val="24"/>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466"/>
        <w:gridCol w:w="4136"/>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466"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136"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widowControl/>
        <w:jc w:val="center"/>
        <w:rPr>
          <w:rFonts w:hint="eastAsia" w:ascii="微软雅黑" w:hAnsi="微软雅黑" w:eastAsia="微软雅黑" w:cs="微软雅黑"/>
          <w:b/>
          <w:color w:val="000008"/>
          <w:kern w:val="0"/>
          <w:sz w:val="28"/>
          <w:szCs w:val="28"/>
          <w:lang w:val="en-US" w:eastAsia="zh-CN" w:bidi="ar"/>
        </w:rPr>
      </w:pPr>
      <w:r>
        <w:rPr>
          <w:rFonts w:hint="eastAsia" w:ascii="微软雅黑" w:hAnsi="微软雅黑" w:eastAsia="微软雅黑" w:cs="微软雅黑"/>
          <w:b/>
          <w:color w:val="000008"/>
          <w:kern w:val="0"/>
          <w:sz w:val="28"/>
          <w:szCs w:val="28"/>
          <w:lang w:val="en-US" w:eastAsia="zh-CN" w:bidi="ar"/>
        </w:rPr>
        <w:drawing>
          <wp:inline distT="0" distB="0" distL="114300" distR="114300">
            <wp:extent cx="1337945" cy="3380105"/>
            <wp:effectExtent l="0" t="0" r="0" b="1270"/>
            <wp:docPr id="8" name="图片 8" descr="发发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发发发"/>
                    <pic:cNvPicPr>
                      <a:picLocks noChangeAspect="1"/>
                    </pic:cNvPicPr>
                  </pic:nvPicPr>
                  <pic:blipFill>
                    <a:blip r:embed="rId6"/>
                    <a:stretch>
                      <a:fillRect/>
                    </a:stretch>
                  </pic:blipFill>
                  <pic:spPr>
                    <a:xfrm>
                      <a:off x="0" y="0"/>
                      <a:ext cx="1337945" cy="3380105"/>
                    </a:xfrm>
                    <a:prstGeom prst="rect">
                      <a:avLst/>
                    </a:prstGeom>
                  </pic:spPr>
                </pic:pic>
              </a:graphicData>
            </a:graphic>
          </wp:inline>
        </w:drawing>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ind w:right="-17" w:rightChars="0"/>
        <w:jc w:val="left"/>
        <w:textAlignment w:val="auto"/>
        <w:outlineLvl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一、产品</w:t>
      </w:r>
      <w:r>
        <w:rPr>
          <w:rFonts w:hint="eastAsia" w:ascii="微软雅黑" w:hAnsi="微软雅黑" w:eastAsia="微软雅黑" w:cs="微软雅黑"/>
          <w:sz w:val="36"/>
          <w:szCs w:val="36"/>
          <w:lang w:val="en-US" w:eastAsia="zh-CN"/>
        </w:rPr>
        <w:t>外观及说明</w:t>
      </w:r>
    </w:p>
    <w:p>
      <w:pPr>
        <w:keepNext w:val="0"/>
        <w:keepLines w:val="0"/>
        <w:pageBreakBefore w:val="0"/>
        <w:widowControl/>
        <w:kinsoku/>
        <w:wordWrap/>
        <w:overflowPunct/>
        <w:topLinePunct w:val="0"/>
        <w:autoSpaceDE/>
        <w:autoSpaceDN/>
        <w:bidi w:val="0"/>
        <w:adjustRightInd/>
        <w:snapToGrid/>
        <w:spacing w:after="156" w:afterLines="50" w:line="360" w:lineRule="auto"/>
        <w:ind w:firstLine="480" w:firstLineChars="200"/>
        <w:jc w:val="left"/>
        <w:textAlignment w:val="auto"/>
        <w:rPr>
          <w:rFonts w:hint="eastAsia" w:ascii="微软雅黑" w:hAnsi="微软雅黑" w:eastAsia="微软雅黑" w:cs="微软雅黑"/>
          <w:b w:val="0"/>
          <w:bCs w:val="0"/>
          <w:color w:val="000000"/>
          <w:kern w:val="0"/>
          <w:sz w:val="24"/>
          <w:szCs w:val="24"/>
          <w:lang w:bidi="ar"/>
        </w:rPr>
      </w:pPr>
      <w:r>
        <w:rPr>
          <w:rFonts w:hint="eastAsia" w:ascii="微软雅黑" w:hAnsi="微软雅黑" w:eastAsia="微软雅黑" w:cs="微软雅黑"/>
          <w:b w:val="0"/>
          <w:bCs w:val="0"/>
          <w:color w:val="000000"/>
          <w:kern w:val="0"/>
          <w:sz w:val="24"/>
          <w:szCs w:val="24"/>
          <w:lang w:val="en-US" w:eastAsia="zh-CN" w:bidi="ar"/>
        </w:rPr>
        <w:t>DC-C200是大因多媒体专为中小型精英团队全新打造的一款桌面式USB视频会议视讯终端，该产品拥有100°超大水平视角，支持1080P全高清视频通话。内置4单元全向麦克风阵列以及专为人声优化的高品质全频扬声器，结合大因第三代Pure Voice音频技术，可实现8米优质全双工通话，为用户提供清晰、稳定、流畅的音视频会议体验。大因DC-C200集摄像头、麦克风、扬声器于一体，USB即插即用，兼容多平台视讯软件，可完美适用于1-8人会议室，是各类企业提升远程协作效率的必备利器。</w:t>
      </w:r>
    </w:p>
    <w:p>
      <w:pPr>
        <w:rPr>
          <w:rFonts w:hint="eastAsia" w:ascii="微软雅黑" w:hAnsi="微软雅黑" w:eastAsia="微软雅黑" w:cs="微软雅黑"/>
          <w:sz w:val="24"/>
          <w:szCs w:val="24"/>
        </w:rPr>
      </w:pPr>
    </w:p>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360" w:lineRule="auto"/>
        <w:ind w:right="-17" w:rightChars="0"/>
        <w:jc w:val="left"/>
        <w:textAlignment w:val="auto"/>
        <w:outlineLvl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产品特点</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全向4麦阵列算法，8米远场清晰拾音</w:t>
      </w:r>
    </w:p>
    <w:p>
      <w:pPr>
        <w:keepNext w:val="0"/>
        <w:keepLines w:val="0"/>
        <w:pageBreakBefore w:val="0"/>
        <w:widowControl w:val="0"/>
        <w:numPr>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DC-C200由超高灵敏度的4单元MEMS全向麦克风环形阵列组成，可做到360°全方位无差别 拾音。通过科学合理的声学结构以及波束形成、声源测向、自动增益等技术，大因DC-C200的拾音半径最远可达8米*，范围足以覆盖会议室的每个角落。</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独有AI降噪技术加持, 大幅提升会议专注度</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lang w:val="en-US" w:eastAsia="zh-CN"/>
        </w:rPr>
      </w:pPr>
      <w:r>
        <w:rPr>
          <w:rFonts w:hint="eastAsia" w:ascii="微软雅黑" w:hAnsi="微软雅黑" w:eastAsia="微软雅黑" w:cs="微软雅黑"/>
          <w:kern w:val="2"/>
          <w:sz w:val="24"/>
          <w:szCs w:val="24"/>
          <w:lang w:val="en-US" w:eastAsia="zh-CN" w:bidi="ar-SA"/>
        </w:rPr>
        <w:t>搭载大因第三代Pure Voice语音处理技术， 基于上千小时不同会议数据学习的AI</w:t>
      </w:r>
      <w:r>
        <w:rPr>
          <w:rFonts w:hint="default" w:ascii="微软雅黑" w:hAnsi="微软雅黑" w:eastAsia="微软雅黑" w:cs="微软雅黑"/>
          <w:kern w:val="2"/>
          <w:sz w:val="24"/>
          <w:szCs w:val="24"/>
          <w:lang w:val="en-US" w:eastAsia="zh-CN" w:bidi="ar-SA"/>
        </w:rPr>
        <w:t>模型，能够有效抑制各种会议室噪音，如鼠标、键盘敲击声、电脑及空调运转声等。其强大的算法能力可在最大程度消减室内噪音的同时，提取出清澈干净的语音原声，有效避免与会人员被杂音干扰，大幅提升会议专注度。</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业内真正全双工，优质无断续畅爽通话</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支持真正全双工通话，可同时进行双向、自然流畅的远程会谈，无丢字、卡顿现</w:t>
      </w:r>
      <w:r>
        <w:rPr>
          <w:rFonts w:hint="default" w:ascii="微软雅黑" w:hAnsi="微软雅黑" w:eastAsia="微软雅黑" w:cs="微软雅黑"/>
          <w:kern w:val="2"/>
          <w:sz w:val="24"/>
          <w:szCs w:val="24"/>
          <w:lang w:val="en-US" w:eastAsia="zh-CN" w:bidi="ar-SA"/>
        </w:rPr>
        <w:t>象，确保会议中不漏听一字一句。搭配专为人声优化的高品质全频扬声器，频率响应更宽阔平坦，输出人声更清脆响亮，即便长时间通话也不会感觉到疲惫，带来优质畅爽通话体验。</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100°全高清大广角镜头，畅享无畸变如面会议</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采用专业化定制的100°水平大广角无畸变镜头，使得每个与会人员都清晰可见。</w:t>
      </w:r>
      <w:r>
        <w:rPr>
          <w:rFonts w:hint="default" w:ascii="微软雅黑" w:hAnsi="微软雅黑" w:eastAsia="微软雅黑" w:cs="微软雅黑"/>
          <w:kern w:val="2"/>
          <w:sz w:val="24"/>
          <w:szCs w:val="24"/>
          <w:lang w:val="en-US" w:eastAsia="zh-CN" w:bidi="ar-SA"/>
        </w:rPr>
        <w:t>开阔的视野能够真实还原会议场景，配合1080P全高清画质输出，清晰锐利的图像显示让与会人的表情、动作传达更加精细入微，远程会议如同面对面。</w:t>
      </w:r>
    </w:p>
    <w:p>
      <w:pPr>
        <w:pStyle w:val="2"/>
        <w:rPr>
          <w:rFonts w:hint="eastAsia"/>
          <w:lang w:val="en-US" w:eastAsia="zh-CN"/>
        </w:rPr>
      </w:pP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广泛的软硬件兼容性，适配主流视讯平台</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采用即插即用设计，只需一根USB线即可完成设备连接，无需额外安装驱动，3秒</w:t>
      </w:r>
      <w:r>
        <w:rPr>
          <w:rFonts w:hint="default" w:ascii="微软雅黑" w:hAnsi="微软雅黑" w:eastAsia="微软雅黑" w:cs="微软雅黑"/>
          <w:kern w:val="2"/>
          <w:sz w:val="24"/>
          <w:szCs w:val="24"/>
          <w:lang w:val="en-US" w:eastAsia="zh-CN" w:bidi="ar-SA"/>
        </w:rPr>
        <w:t>即可轻松入会。且与国内外主流音视频会议平台无缝兼容，免去更换会议系统的繁杂步骤，极大简化企业部署，降低运维成本。</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音视一体智能触控，便捷易用的品质体验</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集摄像头、麦克风、扬声器于一体，机身小巧不占空间，可置于任意办公场所的桌</w:t>
      </w:r>
      <w:r>
        <w:rPr>
          <w:rFonts w:hint="default" w:ascii="微软雅黑" w:hAnsi="微软雅黑" w:eastAsia="微软雅黑" w:cs="微软雅黑"/>
          <w:kern w:val="2"/>
          <w:sz w:val="24"/>
          <w:szCs w:val="24"/>
          <w:lang w:val="en-US" w:eastAsia="zh-CN" w:bidi="ar-SA"/>
        </w:rPr>
        <w:t>面使用，让您随时随地畅享即时无忧通话。其顶部配备4个触控式按键，支持一键静音、关闭摄像头等操作。一体式集成化设计与丰富的通话控制功能，带来便捷友好的品质会议体验。</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default" w:ascii="微软雅黑" w:hAnsi="微软雅黑" w:eastAsia="微软雅黑" w:cs="微软雅黑"/>
          <w:kern w:val="2"/>
          <w:sz w:val="24"/>
          <w:szCs w:val="24"/>
          <w:lang w:val="en-US" w:eastAsia="zh-CN" w:bidi="ar-SA"/>
        </w:rPr>
      </w:pP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default" w:ascii="微软雅黑" w:hAnsi="微软雅黑" w:eastAsia="微软雅黑" w:cs="微软雅黑"/>
          <w:kern w:val="2"/>
          <w:sz w:val="24"/>
          <w:szCs w:val="24"/>
          <w:lang w:val="en-US" w:eastAsia="zh-CN" w:bidi="ar-SA"/>
        </w:rPr>
      </w:pPr>
    </w:p>
    <w:p>
      <w:pPr>
        <w:pStyle w:val="2"/>
        <w:rPr>
          <w:rFonts w:hint="default"/>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ind w:right="-17" w:rightChars="0"/>
        <w:jc w:val="left"/>
        <w:textAlignment w:val="auto"/>
        <w:outlineLvl w:val="0"/>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sz w:val="36"/>
          <w:szCs w:val="36"/>
          <w:lang w:val="en-US" w:eastAsia="zh-CN"/>
        </w:rPr>
        <w:t>三、产品</w:t>
      </w:r>
      <w:r>
        <w:rPr>
          <w:rFonts w:hint="eastAsia" w:ascii="微软雅黑" w:hAnsi="微软雅黑" w:eastAsia="微软雅黑" w:cs="微软雅黑"/>
          <w:sz w:val="36"/>
          <w:szCs w:val="36"/>
        </w:rPr>
        <w:t>参数</w:t>
      </w:r>
    </w:p>
    <w:tbl>
      <w:tblPr>
        <w:tblStyle w:val="12"/>
        <w:tblpPr w:leftFromText="180" w:rightFromText="180" w:vertAnchor="text" w:horzAnchor="page" w:tblpXSpec="center" w:tblpY="854"/>
        <w:tblOverlap w:val="never"/>
        <w:tblW w:w="9537" w:type="dxa"/>
        <w:jc w:val="center"/>
        <w:tblLayout w:type="fixed"/>
        <w:tblCellMar>
          <w:top w:w="0" w:type="dxa"/>
          <w:left w:w="0" w:type="dxa"/>
          <w:bottom w:w="0" w:type="dxa"/>
          <w:right w:w="0" w:type="dxa"/>
        </w:tblCellMar>
      </w:tblPr>
      <w:tblGrid>
        <w:gridCol w:w="1992"/>
        <w:gridCol w:w="3420"/>
        <w:gridCol w:w="4125"/>
      </w:tblGrid>
      <w:tr>
        <w:tblPrEx>
          <w:tblCellMar>
            <w:top w:w="0" w:type="dxa"/>
            <w:left w:w="0" w:type="dxa"/>
            <w:bottom w:w="0" w:type="dxa"/>
            <w:right w:w="0" w:type="dxa"/>
          </w:tblCellMar>
        </w:tblPrEx>
        <w:trPr>
          <w:trHeight w:val="464" w:hRule="exact"/>
          <w:jc w:val="center"/>
        </w:trPr>
        <w:tc>
          <w:tcPr>
            <w:tcW w:w="199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65" w:line="240" w:lineRule="auto"/>
              <w:ind w:left="103" w:right="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尺寸</w:t>
            </w: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3"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产品尺寸</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270mm(H)*110mm(Φ</w:t>
            </w:r>
            <w:r>
              <w:rPr>
                <w:rFonts w:hint="eastAsia" w:asciiTheme="minorEastAsia" w:hAnsiTheme="minorEastAsia" w:cstheme="minorEastAsia"/>
                <w:color w:val="323333"/>
                <w:kern w:val="0"/>
                <w:sz w:val="20"/>
                <w:szCs w:val="20"/>
                <w:lang w:val="en-US" w:eastAsia="zh-CN" w:bidi="ar"/>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right="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包装尺寸</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2"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335mm(L)*145mm(W)*125mm(H)</w:t>
            </w:r>
          </w:p>
        </w:tc>
      </w:tr>
      <w:tr>
        <w:trPr>
          <w:trHeight w:val="464" w:hRule="exact"/>
          <w:jc w:val="center"/>
        </w:trPr>
        <w:tc>
          <w:tcPr>
            <w:tcW w:w="199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重量</w:t>
            </w: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净重</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2"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618g</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毛重</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2"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1260g</w:t>
            </w:r>
          </w:p>
        </w:tc>
      </w:tr>
      <w:tr>
        <w:tblPrEx>
          <w:tblCellMar>
            <w:top w:w="0" w:type="dxa"/>
            <w:left w:w="0" w:type="dxa"/>
            <w:bottom w:w="0" w:type="dxa"/>
            <w:right w:w="0" w:type="dxa"/>
          </w:tblCellMar>
        </w:tblPrEx>
        <w:trPr>
          <w:trHeight w:val="464" w:hRule="exact"/>
          <w:jc w:val="center"/>
        </w:trPr>
        <w:tc>
          <w:tcPr>
            <w:tcW w:w="199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65" w:line="240" w:lineRule="auto"/>
              <w:ind w:left="103" w:right="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产品性能</w:t>
            </w: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3"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广角摄像头</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2"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100°超大广角</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无畸变</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2"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5" w:line="240" w:lineRule="auto"/>
              <w:ind w:left="103" w:right="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3"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高品质全频扬声器</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2"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清晰无断续全双工通话</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2"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图像性能</w:t>
            </w: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自适应肤色</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镜头畸变校正</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防闪烁和频闪</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自动曝光</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自动白平衡</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2"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color w:val="323333"/>
                <w:kern w:val="0"/>
                <w:sz w:val="20"/>
                <w:szCs w:val="20"/>
                <w:lang w:val="en-US" w:eastAsia="zh-CN" w:bidi="ar"/>
              </w:rPr>
              <w:t>3D 降噪</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视频性能</w:t>
            </w: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WDR宽动态</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视频输出</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2"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color w:val="323333"/>
                <w:kern w:val="0"/>
                <w:sz w:val="20"/>
                <w:szCs w:val="20"/>
                <w:lang w:val="en-US" w:eastAsia="zh-CN" w:bidi="ar"/>
              </w:rPr>
              <w:t>FHD 1080P@30fps</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长宽比</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16:9</w:t>
            </w:r>
          </w:p>
        </w:tc>
      </w:tr>
      <w:tr>
        <w:tblPrEx>
          <w:tblCellMar>
            <w:top w:w="0" w:type="dxa"/>
            <w:left w:w="0" w:type="dxa"/>
            <w:bottom w:w="0" w:type="dxa"/>
            <w:right w:w="0" w:type="dxa"/>
          </w:tblCellMar>
        </w:tblPrEx>
        <w:trPr>
          <w:trHeight w:val="464" w:hRule="exact"/>
          <w:jc w:val="center"/>
        </w:trPr>
        <w:tc>
          <w:tcPr>
            <w:tcW w:w="1992" w:type="dxa"/>
            <w:vMerge w:val="continue"/>
            <w:tcBorders>
              <w:left w:val="single" w:color="000000" w:sz="4" w:space="0"/>
              <w:right w:val="single" w:color="000000"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兼容UVC</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65"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1.1/1.5</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000000" w:sz="4" w:space="0"/>
              <w:bottom w:val="single" w:color="auto" w:sz="4" w:space="0"/>
              <w:right w:val="single" w:color="000000"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通过 USB 2.0传输</w:t>
            </w:r>
          </w:p>
        </w:tc>
        <w:tc>
          <w:tcPr>
            <w:tcW w:w="4125"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MJPEG andH.264</w:t>
            </w:r>
          </w:p>
        </w:tc>
      </w:tr>
      <w:tr>
        <w:tblPrEx>
          <w:tblCellMar>
            <w:top w:w="0" w:type="dxa"/>
            <w:left w:w="0" w:type="dxa"/>
            <w:bottom w:w="0" w:type="dxa"/>
            <w:right w:w="0" w:type="dxa"/>
          </w:tblCellMar>
        </w:tblPrEx>
        <w:trPr>
          <w:trHeight w:val="462" w:hRule="exact"/>
          <w:jc w:val="center"/>
        </w:trPr>
        <w:tc>
          <w:tcPr>
            <w:tcW w:w="199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镜头性能</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光圈</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f /2.4</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像素数</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2MP</w:t>
            </w:r>
          </w:p>
        </w:tc>
      </w:tr>
      <w:tr>
        <w:tblPrEx>
          <w:tblCellMar>
            <w:top w:w="0" w:type="dxa"/>
            <w:left w:w="0" w:type="dxa"/>
            <w:bottom w:w="0" w:type="dxa"/>
            <w:right w:w="0" w:type="dxa"/>
          </w:tblCellMar>
        </w:tblPrEx>
        <w:trPr>
          <w:trHeight w:val="454"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画质</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w w:val="99"/>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1080P画质输出</w:t>
            </w:r>
          </w:p>
        </w:tc>
      </w:tr>
      <w:tr>
        <w:tblPrEx>
          <w:tblCellMar>
            <w:top w:w="0" w:type="dxa"/>
            <w:left w:w="0" w:type="dxa"/>
            <w:bottom w:w="0" w:type="dxa"/>
            <w:right w:w="0" w:type="dxa"/>
          </w:tblCellMar>
        </w:tblPrEx>
        <w:trPr>
          <w:trHeight w:val="454"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FOV(H)</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100°</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FOV(V)</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62°</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TV Distorion</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＜1%</w:t>
            </w:r>
          </w:p>
        </w:tc>
      </w:tr>
      <w:tr>
        <w:tblPrEx>
          <w:tblCellMar>
            <w:top w:w="0" w:type="dxa"/>
            <w:left w:w="0" w:type="dxa"/>
            <w:bottom w:w="0" w:type="dxa"/>
            <w:right w:w="0" w:type="dxa"/>
          </w:tblCellMar>
        </w:tblPrEx>
        <w:trPr>
          <w:trHeight w:val="462" w:hRule="exact"/>
          <w:jc w:val="center"/>
        </w:trPr>
        <w:tc>
          <w:tcPr>
            <w:tcW w:w="199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音频性能</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最大背景噪声抑制</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24dB</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全双工传输</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支持随时打断、远端语音强度和近端语音强度差值小于 50dB时可实现全双工通话</w:t>
            </w:r>
          </w:p>
        </w:tc>
      </w:tr>
      <w:tr>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回声消除</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线性回声消除器的最大线性 erle&gt;=30dB</w:t>
            </w:r>
          </w:p>
        </w:tc>
      </w:tr>
      <w:tr>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自动增益控制</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5" w:line="240" w:lineRule="auto"/>
              <w:ind w:left="102"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半径8米以内智能增益，清晰拾音</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混响抑制</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RT60&lt;1s</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23333"/>
                <w:kern w:val="0"/>
                <w:sz w:val="20"/>
                <w:szCs w:val="20"/>
                <w:lang w:val="en-US" w:eastAsia="zh-CN" w:bidi="ar"/>
              </w:rPr>
              <w:t>基于AI的发言人检测</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基于AI的智能降噪</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2" w:hRule="exact"/>
          <w:jc w:val="center"/>
        </w:trPr>
        <w:tc>
          <w:tcPr>
            <w:tcW w:w="199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麦克风性能</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5"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麦克风类型</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5"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4单元MEMS麦克风，360°空间指向阵列</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灵敏度</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-32dB FS 94dB SPL@1KHZ</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信噪比</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64dBA</w:t>
            </w:r>
          </w:p>
        </w:tc>
      </w:tr>
      <w:tr>
        <w:tblPrEx>
          <w:tblCellMar>
            <w:top w:w="0" w:type="dxa"/>
            <w:left w:w="0" w:type="dxa"/>
            <w:bottom w:w="0" w:type="dxa"/>
            <w:right w:w="0" w:type="dxa"/>
          </w:tblCellMar>
        </w:tblPrEx>
        <w:trPr>
          <w:trHeight w:val="662" w:hRule="exact"/>
          <w:jc w:val="center"/>
        </w:trPr>
        <w:tc>
          <w:tcPr>
            <w:tcW w:w="199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color w:val="323333"/>
                <w:kern w:val="0"/>
                <w:sz w:val="20"/>
                <w:szCs w:val="20"/>
                <w:lang w:val="en-US" w:eastAsia="zh-CN" w:bidi="ar"/>
              </w:rPr>
              <w:t>麦克风有效拾音距离</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8米（在信噪比低的会议室环境下 ，实际建议在5米以内）</w:t>
            </w:r>
          </w:p>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kern w:val="2"/>
                <w:sz w:val="20"/>
                <w:szCs w:val="20"/>
                <w:lang w:val="en-US" w:eastAsia="zh-CN" w:bidi="ar-SA"/>
              </w:rPr>
            </w:pPr>
          </w:p>
        </w:tc>
      </w:tr>
      <w:tr>
        <w:tblPrEx>
          <w:tblCellMar>
            <w:top w:w="0" w:type="dxa"/>
            <w:left w:w="0" w:type="dxa"/>
            <w:bottom w:w="0" w:type="dxa"/>
            <w:right w:w="0" w:type="dxa"/>
          </w:tblCellMar>
        </w:tblPrEx>
        <w:trPr>
          <w:trHeight w:val="462" w:hRule="exact"/>
          <w:jc w:val="center"/>
        </w:trPr>
        <w:tc>
          <w:tcPr>
            <w:tcW w:w="199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扬声器失性能</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峰值输出功率</w:t>
            </w:r>
          </w:p>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5W</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额定输出功率</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3W</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有效频率范围</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20Hz ~20kHz</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音量</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90dB SPL @0dB 1kHz at 0.5m</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失真率THD</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&lt;=1%</w:t>
            </w:r>
          </w:p>
        </w:tc>
      </w:tr>
      <w:tr>
        <w:tblPrEx>
          <w:tblCellMar>
            <w:top w:w="0" w:type="dxa"/>
            <w:left w:w="0" w:type="dxa"/>
            <w:bottom w:w="0" w:type="dxa"/>
            <w:right w:w="0" w:type="dxa"/>
          </w:tblCellMar>
        </w:tblPrEx>
        <w:trPr>
          <w:trHeight w:val="462" w:hRule="exact"/>
          <w:jc w:val="center"/>
        </w:trPr>
        <w:tc>
          <w:tcPr>
            <w:tcW w:w="1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系统支持</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具有USB连接的Windows/Mac/Linux</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2" w:hRule="exact"/>
          <w:jc w:val="center"/>
        </w:trPr>
        <w:tc>
          <w:tcPr>
            <w:tcW w:w="199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输入/输出</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USB供电</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5V/500mA</w:t>
            </w:r>
          </w:p>
        </w:tc>
      </w:tr>
      <w:tr>
        <w:tblPrEx>
          <w:tblCellMar>
            <w:top w:w="0" w:type="dxa"/>
            <w:left w:w="0" w:type="dxa"/>
            <w:bottom w:w="0" w:type="dxa"/>
            <w:right w:w="0" w:type="dxa"/>
          </w:tblCellMar>
        </w:tblPrEx>
        <w:trPr>
          <w:trHeight w:val="462" w:hRule="exact"/>
          <w:jc w:val="center"/>
        </w:trPr>
        <w:tc>
          <w:tcPr>
            <w:tcW w:w="199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通过USB Type-C数据传输</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2" w:hRule="exact"/>
          <w:jc w:val="center"/>
        </w:trPr>
        <w:tc>
          <w:tcPr>
            <w:tcW w:w="1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安装方式</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桌面</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2" w:hRule="exact"/>
          <w:jc w:val="center"/>
        </w:trPr>
        <w:tc>
          <w:tcPr>
            <w:tcW w:w="1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连接接口</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USB 2.0</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sz w:val="20"/>
                <w:szCs w:val="20"/>
              </w:rPr>
              <w:t>√</w:t>
            </w:r>
          </w:p>
        </w:tc>
      </w:tr>
      <w:tr>
        <w:tblPrEx>
          <w:tblCellMar>
            <w:top w:w="0" w:type="dxa"/>
            <w:left w:w="0" w:type="dxa"/>
            <w:bottom w:w="0" w:type="dxa"/>
            <w:right w:w="0" w:type="dxa"/>
          </w:tblCellMar>
        </w:tblPrEx>
        <w:trPr>
          <w:trHeight w:val="462" w:hRule="exact"/>
          <w:jc w:val="center"/>
        </w:trPr>
        <w:tc>
          <w:tcPr>
            <w:tcW w:w="1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颜色</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3"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color w:val="323333"/>
                <w:kern w:val="0"/>
                <w:sz w:val="20"/>
                <w:szCs w:val="20"/>
                <w:lang w:val="en-US" w:eastAsia="zh-CN" w:bidi="ar"/>
              </w:rPr>
              <w:t>白色</w:t>
            </w:r>
          </w:p>
        </w:tc>
        <w:tc>
          <w:tcPr>
            <w:tcW w:w="4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66" w:line="240" w:lineRule="auto"/>
              <w:ind w:left="102" w:leftChars="0" w:right="0" w:rightChars="0"/>
              <w:jc w:val="center"/>
              <w:rPr>
                <w:rFonts w:hint="eastAsia" w:asciiTheme="minorEastAsia" w:hAnsiTheme="minorEastAsia" w:eastAsiaTheme="minorEastAsia" w:cstheme="minorEastAsia"/>
                <w:color w:val="323333"/>
                <w:kern w:val="0"/>
                <w:sz w:val="20"/>
                <w:szCs w:val="20"/>
                <w:lang w:val="en-US" w:eastAsia="zh-CN" w:bidi="ar"/>
              </w:rPr>
            </w:pPr>
            <w:r>
              <w:rPr>
                <w:rFonts w:hint="eastAsia" w:asciiTheme="minorEastAsia" w:hAnsiTheme="minorEastAsia" w:eastAsiaTheme="minorEastAsia" w:cstheme="minorEastAsia"/>
                <w:sz w:val="20"/>
                <w:szCs w:val="20"/>
              </w:rPr>
              <w:t>√</w:t>
            </w:r>
          </w:p>
        </w:tc>
      </w:tr>
    </w:tbl>
    <w:p>
      <w:pPr>
        <w:pStyle w:val="2"/>
        <w:pageBreakBefore w:val="0"/>
        <w:kinsoku/>
        <w:wordWrap/>
        <w:overflowPunct/>
        <w:topLinePunct w:val="0"/>
        <w:bidi w:val="0"/>
        <w:snapToGrid/>
        <w:spacing w:line="240" w:lineRule="auto"/>
        <w:textAlignment w:val="auto"/>
        <w:rPr>
          <w:rFonts w:hint="eastAsia" w:ascii="微软雅黑" w:hAnsi="微软雅黑" w:eastAsia="微软雅黑" w:cs="微软雅黑"/>
          <w:b/>
          <w:bCs/>
          <w:sz w:val="30"/>
          <w:szCs w:val="30"/>
          <w:lang w:val="en-US" w:eastAsia="zh-CN"/>
        </w:rPr>
      </w:pPr>
    </w:p>
    <w:p>
      <w:pPr>
        <w:pStyle w:val="2"/>
        <w:numPr>
          <w:ilvl w:val="0"/>
          <w:numId w:val="0"/>
        </w:numPr>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Pr>
        <w:pStyle w:val="21"/>
        <w:spacing w:line="288" w:lineRule="auto"/>
        <w:ind w:firstLine="0" w:firstLineChars="0"/>
      </w:pPr>
    </w:p>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jc w:val="both"/>
        <w:textAlignment w:val="auto"/>
        <w:rPr>
          <w:rFonts w:hint="eastAsia" w:ascii="Calibri" w:hAnsi="Calibri" w:eastAsia="微软雅黑" w:cs="Calibri"/>
          <w:sz w:val="24"/>
          <w:szCs w:val="24"/>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阿里巴巴普惠体 R">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阿里巴巴普惠体 B">
    <w:altName w:val="AMGD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libaba-PuHuiTi-R">
    <w:altName w:val="AMGD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59264" behindDoc="0" locked="0" layoutInCell="1" allowOverlap="1">
          <wp:simplePos x="0" y="0"/>
          <wp:positionH relativeFrom="column">
            <wp:posOffset>5711190</wp:posOffset>
          </wp:positionH>
          <wp:positionV relativeFrom="paragraph">
            <wp:posOffset>137160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abstractNum w:abstractNumId="1">
    <w:nsid w:val="78AE2548"/>
    <w:multiLevelType w:val="singleLevel"/>
    <w:tmpl w:val="78AE254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57E74F5"/>
    <w:rsid w:val="092D5391"/>
    <w:rsid w:val="097D4F5F"/>
    <w:rsid w:val="0BE81B6C"/>
    <w:rsid w:val="101C440E"/>
    <w:rsid w:val="114E06C3"/>
    <w:rsid w:val="117619C8"/>
    <w:rsid w:val="15E2762C"/>
    <w:rsid w:val="16852CE2"/>
    <w:rsid w:val="16CA259A"/>
    <w:rsid w:val="17283A6B"/>
    <w:rsid w:val="17D80473"/>
    <w:rsid w:val="183028D1"/>
    <w:rsid w:val="18D94D16"/>
    <w:rsid w:val="1C024584"/>
    <w:rsid w:val="1D61352C"/>
    <w:rsid w:val="1E7B061E"/>
    <w:rsid w:val="1F10520A"/>
    <w:rsid w:val="1F14208B"/>
    <w:rsid w:val="207F7B8E"/>
    <w:rsid w:val="21F11323"/>
    <w:rsid w:val="22EA5D72"/>
    <w:rsid w:val="2398039C"/>
    <w:rsid w:val="25BE7EB3"/>
    <w:rsid w:val="2A6428AE"/>
    <w:rsid w:val="2A64640A"/>
    <w:rsid w:val="2B847C6D"/>
    <w:rsid w:val="2D1C7470"/>
    <w:rsid w:val="2D870D8D"/>
    <w:rsid w:val="2E335B48"/>
    <w:rsid w:val="302C5C1C"/>
    <w:rsid w:val="311A1F18"/>
    <w:rsid w:val="315E1E05"/>
    <w:rsid w:val="32130E41"/>
    <w:rsid w:val="331704BD"/>
    <w:rsid w:val="340547BA"/>
    <w:rsid w:val="353F0C47"/>
    <w:rsid w:val="37960F73"/>
    <w:rsid w:val="3825367C"/>
    <w:rsid w:val="38CC3AF8"/>
    <w:rsid w:val="39BD040F"/>
    <w:rsid w:val="3A9C797B"/>
    <w:rsid w:val="3BC66F24"/>
    <w:rsid w:val="3DFC6C2D"/>
    <w:rsid w:val="3DFE0BF8"/>
    <w:rsid w:val="3E8A248B"/>
    <w:rsid w:val="3F163D1F"/>
    <w:rsid w:val="445F194D"/>
    <w:rsid w:val="49C8030C"/>
    <w:rsid w:val="4A056E6A"/>
    <w:rsid w:val="4D063625"/>
    <w:rsid w:val="4E870795"/>
    <w:rsid w:val="4E9764FE"/>
    <w:rsid w:val="4EA8496E"/>
    <w:rsid w:val="503E4E84"/>
    <w:rsid w:val="50BB2978"/>
    <w:rsid w:val="525C3CE7"/>
    <w:rsid w:val="538C05FC"/>
    <w:rsid w:val="552F7491"/>
    <w:rsid w:val="56755377"/>
    <w:rsid w:val="57160908"/>
    <w:rsid w:val="59417793"/>
    <w:rsid w:val="5A737E20"/>
    <w:rsid w:val="5AFC6067"/>
    <w:rsid w:val="5B5A4166"/>
    <w:rsid w:val="5C0C052C"/>
    <w:rsid w:val="5CD5091E"/>
    <w:rsid w:val="5D9E51B4"/>
    <w:rsid w:val="60600E46"/>
    <w:rsid w:val="60781584"/>
    <w:rsid w:val="61AA1D5B"/>
    <w:rsid w:val="62053A53"/>
    <w:rsid w:val="64BE25DF"/>
    <w:rsid w:val="65235B46"/>
    <w:rsid w:val="668C4743"/>
    <w:rsid w:val="677671A1"/>
    <w:rsid w:val="690A736D"/>
    <w:rsid w:val="69586B5E"/>
    <w:rsid w:val="6C044D7B"/>
    <w:rsid w:val="6DC01176"/>
    <w:rsid w:val="6F80296B"/>
    <w:rsid w:val="6FDA156D"/>
    <w:rsid w:val="728704B4"/>
    <w:rsid w:val="746C5BB4"/>
    <w:rsid w:val="77BE6DDB"/>
    <w:rsid w:val="77BF424C"/>
    <w:rsid w:val="7BFC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2"/>
    <w:qFormat/>
    <w:uiPriority w:val="9"/>
    <w:pPr>
      <w:spacing w:before="340" w:after="330" w:line="578" w:lineRule="auto"/>
      <w:outlineLvl w:val="0"/>
    </w:pPr>
    <w:rPr>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8"/>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7"/>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字符"/>
    <w:basedOn w:val="13"/>
    <w:link w:val="10"/>
    <w:qFormat/>
    <w:uiPriority w:val="99"/>
    <w:rPr>
      <w:sz w:val="18"/>
      <w:szCs w:val="18"/>
    </w:rPr>
  </w:style>
  <w:style w:type="character" w:customStyle="1" w:styleId="16">
    <w:name w:val="页脚 字符"/>
    <w:basedOn w:val="13"/>
    <w:link w:val="9"/>
    <w:qFormat/>
    <w:uiPriority w:val="99"/>
    <w:rPr>
      <w:sz w:val="18"/>
      <w:szCs w:val="18"/>
    </w:rPr>
  </w:style>
  <w:style w:type="character" w:customStyle="1" w:styleId="17">
    <w:name w:val="批注框文本 字符"/>
    <w:basedOn w:val="13"/>
    <w:link w:val="8"/>
    <w:semiHidden/>
    <w:qFormat/>
    <w:uiPriority w:val="99"/>
    <w:rPr>
      <w:sz w:val="18"/>
      <w:szCs w:val="18"/>
    </w:rPr>
  </w:style>
  <w:style w:type="character" w:customStyle="1" w:styleId="18">
    <w:name w:val="标题 3 字符"/>
    <w:basedOn w:val="13"/>
    <w:link w:val="5"/>
    <w:qFormat/>
    <w:uiPriority w:val="9"/>
    <w:rPr>
      <w:b/>
      <w:sz w:val="32"/>
    </w:rPr>
  </w:style>
  <w:style w:type="character" w:customStyle="1" w:styleId="19">
    <w:name w:val="标题 2 字符"/>
    <w:basedOn w:val="13"/>
    <w:link w:val="4"/>
    <w:qFormat/>
    <w:uiPriority w:val="9"/>
    <w:rPr>
      <w:rFonts w:asciiTheme="majorHAnsi" w:hAnsiTheme="majorHAnsi" w:eastAsiaTheme="majorEastAsia" w:cstheme="majorBidi"/>
      <w:b/>
      <w:bCs/>
      <w:sz w:val="32"/>
      <w:szCs w:val="32"/>
    </w:rPr>
  </w:style>
  <w:style w:type="paragraph" w:customStyle="1" w:styleId="20">
    <w:name w:val="列表段落1"/>
    <w:basedOn w:val="1"/>
    <w:qFormat/>
    <w:uiPriority w:val="34"/>
    <w:pPr>
      <w:ind w:firstLine="420" w:firstLineChars="200"/>
    </w:pPr>
  </w:style>
  <w:style w:type="paragraph" w:styleId="21">
    <w:name w:val="List Paragraph"/>
    <w:basedOn w:val="1"/>
    <w:qFormat/>
    <w:uiPriority w:val="34"/>
    <w:pPr>
      <w:ind w:firstLine="420" w:firstLineChars="200"/>
    </w:pPr>
  </w:style>
  <w:style w:type="character" w:customStyle="1" w:styleId="22">
    <w:name w:val="标题 1 字符"/>
    <w:basedOn w:val="13"/>
    <w:link w:val="3"/>
    <w:qFormat/>
    <w:uiPriority w:val="9"/>
    <w:rPr>
      <w:b/>
      <w:bCs/>
      <w:kern w:val="44"/>
      <w:sz w:val="44"/>
      <w:szCs w:val="44"/>
    </w:rPr>
  </w:style>
  <w:style w:type="paragraph" w:customStyle="1" w:styleId="23">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4">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5">
    <w:name w:val="样式1"/>
    <w:basedOn w:val="3"/>
    <w:next w:val="1"/>
    <w:qFormat/>
    <w:uiPriority w:val="0"/>
    <w:pPr>
      <w:spacing w:before="100" w:after="90"/>
    </w:pPr>
  </w:style>
  <w:style w:type="paragraph" w:customStyle="1" w:styleId="26">
    <w:name w:val="样式2"/>
    <w:basedOn w:val="3"/>
    <w:next w:val="1"/>
    <w:qFormat/>
    <w:uiPriority w:val="0"/>
    <w:pPr>
      <w:spacing w:before="120" w:after="120" w:line="360" w:lineRule="auto"/>
    </w:p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2178</Words>
  <Characters>2681</Characters>
  <Lines>6</Lines>
  <Paragraphs>1</Paragraphs>
  <TotalTime>11</TotalTime>
  <ScaleCrop>false</ScaleCrop>
  <LinksUpToDate>false</LinksUpToDate>
  <CharactersWithSpaces>2754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2022-11-25T07:34:04Z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B0D8CCA764F64283AC17E394BB794E57</vt:lpwstr>
  </property>
</Properties>
</file>