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Hlk34051380"/>
    </w:p>
    <w:p>
      <w:pPr>
        <w:pStyle w:val="2"/>
        <w:rPr>
          <w:rFonts w:hint="eastAsia"/>
          <w:lang w:val="en-US" w:eastAsia="zh-CN"/>
        </w:rPr>
      </w:pPr>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PoE有源音柱</w:t>
      </w:r>
    </w:p>
    <w:p>
      <w:pPr>
        <w:pStyle w:val="2"/>
        <w:rPr>
          <w:rFonts w:hint="default"/>
          <w:lang w:val="en-US" w:eastAsia="zh-CN"/>
        </w:rPr>
      </w:pPr>
    </w:p>
    <w:p>
      <w:pPr>
        <w:spacing w:line="360" w:lineRule="auto"/>
        <w:ind w:firstLine="3960" w:firstLineChars="1100"/>
        <w:jc w:val="left"/>
        <w:rPr>
          <w:rFonts w:hint="eastAsia" w:ascii="微软雅黑" w:hAnsi="微软雅黑" w:eastAsia="微软雅黑"/>
          <w:b w:val="0"/>
          <w:bCs/>
          <w:sz w:val="36"/>
          <w:szCs w:val="36"/>
          <w:highlight w:val="none"/>
          <w:lang w:val="en-US" w:eastAsia="zh-CN"/>
        </w:rPr>
      </w:pPr>
      <w:bookmarkStart w:id="1" w:name="_GoBack"/>
      <w:r>
        <w:rPr>
          <w:rFonts w:hint="eastAsia" w:ascii="微软雅黑" w:hAnsi="微软雅黑" w:eastAsia="微软雅黑"/>
          <w:b w:val="0"/>
          <w:bCs/>
          <w:sz w:val="36"/>
          <w:szCs w:val="36"/>
          <w:highlight w:val="none"/>
          <w:lang w:val="en-US" w:eastAsia="zh-CN"/>
        </w:rPr>
        <w:t>DA-RLO445</w:t>
      </w:r>
    </w:p>
    <w:bookmarkEnd w:id="1"/>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lang w:val="en-US" w:eastAsia="zh-CN"/>
        </w:rPr>
        <w:t xml:space="preserve">  </w:t>
      </w: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w:t>
      </w:r>
      <w:r>
        <w:rPr>
          <w:rFonts w:hint="eastAsia" w:ascii="微软雅黑" w:hAnsi="微软雅黑" w:eastAsia="微软雅黑" w:cs="微软雅黑"/>
          <w:sz w:val="24"/>
          <w:szCs w:val="24"/>
          <w:highlight w:val="none"/>
        </w:rPr>
        <w:t>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center"/>
        <w:rPr>
          <w:rFonts w:hint="eastAsia"/>
          <w:lang w:val="en-US" w:eastAsia="zh-CN"/>
        </w:rPr>
      </w:pPr>
      <w:r>
        <w:rPr>
          <w:rFonts w:hint="eastAsia" w:ascii="宋体" w:hAnsi="宋体" w:eastAsia="宋体" w:cs="宋体"/>
          <w:sz w:val="20"/>
        </w:rPr>
        <w:drawing>
          <wp:inline distT="0" distB="0" distL="0" distR="0">
            <wp:extent cx="615950" cy="1952625"/>
            <wp:effectExtent l="0" t="0" r="3175"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6" cstate="print"/>
                    <a:stretch>
                      <a:fillRect/>
                    </a:stretch>
                  </pic:blipFill>
                  <pic:spPr>
                    <a:xfrm>
                      <a:off x="0" y="0"/>
                      <a:ext cx="616060" cy="1952910"/>
                    </a:xfrm>
                    <a:prstGeom prst="rect">
                      <a:avLst/>
                    </a:prstGeom>
                  </pic:spPr>
                </pic:pic>
              </a:graphicData>
            </a:graphic>
          </wp:inline>
        </w:drawing>
      </w:r>
    </w:p>
    <w:p>
      <w:pPr>
        <w:pStyle w:val="2"/>
        <w:rPr>
          <w:rFonts w:hint="eastAsia"/>
          <w:lang w:val="en-US" w:eastAsia="zh-CN"/>
        </w:rPr>
      </w:pPr>
    </w:p>
    <w:p>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420" w:leftChars="0" w:hanging="420" w:firstLineChars="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采用单通道低阻驱动模式和高效D类功率放大技术，通过PoE网络交换机汲取功率，实现高效率能量转换。由于是采用Dante网络音频传输技术，可以提供高品质低延时的音频输出，为小型会议室、小范围区域扩声提供最佳分布式布署方案。</w:t>
      </w:r>
    </w:p>
    <w:p>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420" w:leftChars="0" w:hanging="420" w:firstLineChars="0"/>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该动力模块具有DSP功能，包括模块工作温度实时检测，信号电平显示、增益调节、静音、5段PEQ、高低通滤波器和限幅器等处理功能，并支持网络网络远程发现和控制。</w:t>
      </w:r>
    </w:p>
    <w:p>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420" w:leftChars="0" w:hanging="420" w:firstLineChars="0"/>
        <w:textAlignment w:val="auto"/>
        <w:rPr>
          <w:rFonts w:hint="eastAsia"/>
          <w:lang w:val="en-US" w:eastAsia="zh-CN"/>
        </w:rPr>
      </w:pPr>
      <w:r>
        <w:rPr>
          <w:rFonts w:hint="eastAsia" w:ascii="微软雅黑" w:hAnsi="微软雅黑" w:eastAsia="微软雅黑" w:cs="微软雅黑"/>
          <w:lang w:val="en-US" w:eastAsia="zh-CN"/>
        </w:rPr>
        <w:t>此外，该模组为无风扇设计，降低本底噪声和提高了稳定性。同时还具有高温保护、过载保护和短路保护等多种保护措施。</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outlineLvl w:val="0"/>
        <w:rPr>
          <w:rFonts w:hint="default" w:ascii="微软雅黑" w:hAnsi="微软雅黑" w:eastAsia="微软雅黑" w:cs="微软雅黑"/>
          <w:b/>
          <w:bCs/>
          <w:color w:val="auto"/>
          <w:kern w:val="2"/>
          <w:sz w:val="36"/>
          <w:szCs w:val="36"/>
          <w:lang w:val="en-US" w:eastAsia="zh-CN" w:bidi="ar-SA"/>
        </w:rPr>
      </w:pPr>
      <w:r>
        <w:rPr>
          <w:rFonts w:hint="eastAsia" w:ascii="微软雅黑" w:hAnsi="微软雅黑" w:eastAsia="微软雅黑" w:cs="微软雅黑"/>
          <w:b/>
          <w:bCs/>
          <w:color w:val="auto"/>
          <w:kern w:val="2"/>
          <w:sz w:val="36"/>
          <w:szCs w:val="36"/>
          <w:lang w:val="en-US" w:eastAsia="zh-CN" w:bidi="ar-SA"/>
        </w:rPr>
        <w:t>二、产品参数</w:t>
      </w:r>
    </w:p>
    <w:p>
      <w:pPr>
        <w:pStyle w:val="2"/>
        <w:rPr>
          <w:rFonts w:hint="eastAsia"/>
          <w:lang w:val="en-US" w:eastAsia="zh-CN"/>
        </w:rPr>
      </w:pPr>
    </w:p>
    <w:tbl>
      <w:tblPr>
        <w:tblStyle w:val="14"/>
        <w:tblpPr w:leftFromText="180" w:rightFromText="180" w:vertAnchor="text" w:horzAnchor="page" w:tblpXSpec="center" w:tblpY="372"/>
        <w:tblOverlap w:val="never"/>
        <w:tblW w:w="7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82"/>
        <w:gridCol w:w="4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2882" w:type="dxa"/>
            <w:vAlign w:val="center"/>
          </w:tcPr>
          <w:p>
            <w:pPr>
              <w:ind w:left="119" w:right="108"/>
              <w:jc w:val="center"/>
              <w:rPr>
                <w:rFonts w:hint="eastAsia" w:ascii="宋体" w:hAnsi="宋体" w:eastAsia="宋体" w:cs="宋体"/>
                <w:color w:val="000006"/>
                <w:sz w:val="20"/>
                <w:szCs w:val="20"/>
              </w:rPr>
            </w:pPr>
            <w:r>
              <w:rPr>
                <w:rFonts w:hint="eastAsia" w:ascii="宋体" w:hAnsi="宋体" w:eastAsia="宋体" w:cs="宋体"/>
                <w:sz w:val="20"/>
                <w:szCs w:val="20"/>
              </w:rPr>
              <w:t xml:space="preserve">功放类型                                </w:t>
            </w:r>
          </w:p>
        </w:tc>
        <w:tc>
          <w:tcPr>
            <w:tcW w:w="4697" w:type="dxa"/>
            <w:vAlign w:val="center"/>
          </w:tcPr>
          <w:p>
            <w:pPr>
              <w:jc w:val="center"/>
              <w:rPr>
                <w:rFonts w:hint="eastAsia" w:ascii="宋体" w:hAnsi="宋体" w:eastAsia="宋体" w:cs="宋体"/>
                <w:color w:val="000006"/>
                <w:spacing w:val="4"/>
                <w:sz w:val="20"/>
                <w:szCs w:val="20"/>
              </w:rPr>
            </w:pPr>
            <w:r>
              <w:rPr>
                <w:rFonts w:hint="eastAsia" w:ascii="宋体" w:hAnsi="宋体" w:eastAsia="宋体" w:cs="宋体"/>
                <w:sz w:val="20"/>
                <w:szCs w:val="20"/>
              </w:rPr>
              <w:t xml:space="preserve">PoE功放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2882" w:type="dxa"/>
            <w:vAlign w:val="center"/>
          </w:tcPr>
          <w:p>
            <w:pPr>
              <w:ind w:left="119" w:right="108"/>
              <w:jc w:val="center"/>
              <w:rPr>
                <w:rFonts w:hint="eastAsia" w:ascii="宋体" w:hAnsi="宋体" w:eastAsia="宋体" w:cs="宋体"/>
                <w:sz w:val="20"/>
                <w:szCs w:val="20"/>
              </w:rPr>
            </w:pPr>
            <w:r>
              <w:rPr>
                <w:rFonts w:hint="eastAsia" w:ascii="宋体" w:hAnsi="宋体" w:eastAsia="宋体" w:cs="宋体"/>
                <w:sz w:val="20"/>
                <w:szCs w:val="20"/>
              </w:rPr>
              <w:t xml:space="preserve">额定功率          </w:t>
            </w:r>
          </w:p>
        </w:tc>
        <w:tc>
          <w:tcPr>
            <w:tcW w:w="469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 xml:space="preserve">33W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2882" w:type="dxa"/>
            <w:vAlign w:val="center"/>
          </w:tcPr>
          <w:p>
            <w:pPr>
              <w:ind w:left="119" w:right="108"/>
              <w:jc w:val="center"/>
              <w:rPr>
                <w:rFonts w:hint="eastAsia" w:ascii="宋体" w:hAnsi="宋体" w:eastAsia="宋体" w:cs="宋体"/>
                <w:sz w:val="20"/>
                <w:szCs w:val="20"/>
                <w:lang w:eastAsia="zh-CN"/>
              </w:rPr>
            </w:pPr>
            <w:r>
              <w:rPr>
                <w:rFonts w:hint="eastAsia" w:ascii="宋体" w:hAnsi="宋体" w:eastAsia="宋体" w:cs="宋体"/>
                <w:sz w:val="20"/>
                <w:szCs w:val="20"/>
              </w:rPr>
              <w:t>频率范围</w:t>
            </w:r>
          </w:p>
        </w:tc>
        <w:tc>
          <w:tcPr>
            <w:tcW w:w="469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 xml:space="preserve">140Hz-19KHz(±3dB)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2882" w:type="dxa"/>
            <w:vAlign w:val="center"/>
          </w:tcPr>
          <w:p>
            <w:pPr>
              <w:ind w:left="119" w:right="108"/>
              <w:jc w:val="center"/>
              <w:rPr>
                <w:rFonts w:hint="eastAsia" w:ascii="宋体" w:hAnsi="宋体" w:eastAsia="宋体" w:cs="宋体"/>
                <w:sz w:val="20"/>
                <w:szCs w:val="20"/>
              </w:rPr>
            </w:pPr>
            <w:r>
              <w:rPr>
                <w:rFonts w:hint="eastAsia" w:ascii="宋体" w:hAnsi="宋体" w:eastAsia="宋体" w:cs="宋体"/>
                <w:sz w:val="20"/>
                <w:szCs w:val="20"/>
              </w:rPr>
              <w:t>灵敏度</w:t>
            </w:r>
          </w:p>
        </w:tc>
        <w:tc>
          <w:tcPr>
            <w:tcW w:w="469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87dB±3dB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2882" w:type="dxa"/>
            <w:vAlign w:val="center"/>
          </w:tcPr>
          <w:p>
            <w:pPr>
              <w:ind w:left="119" w:right="108"/>
              <w:jc w:val="center"/>
              <w:rPr>
                <w:rFonts w:hint="eastAsia" w:ascii="宋体" w:hAnsi="宋体" w:eastAsia="宋体" w:cs="宋体"/>
                <w:color w:val="000006"/>
                <w:sz w:val="20"/>
                <w:szCs w:val="20"/>
                <w:lang w:eastAsia="zh-CN"/>
              </w:rPr>
            </w:pPr>
            <w:r>
              <w:rPr>
                <w:rFonts w:hint="eastAsia" w:ascii="宋体" w:hAnsi="宋体" w:eastAsia="宋体" w:cs="宋体"/>
                <w:sz w:val="20"/>
                <w:szCs w:val="20"/>
              </w:rPr>
              <w:t xml:space="preserve">最大声压级    </w:t>
            </w:r>
          </w:p>
        </w:tc>
        <w:tc>
          <w:tcPr>
            <w:tcW w:w="4697" w:type="dxa"/>
            <w:vAlign w:val="center"/>
          </w:tcPr>
          <w:p>
            <w:pPr>
              <w:ind w:left="119" w:right="108"/>
              <w:jc w:val="center"/>
              <w:rPr>
                <w:rFonts w:hint="eastAsia" w:ascii="宋体" w:hAnsi="宋体" w:eastAsia="宋体" w:cs="宋体"/>
                <w:color w:val="000006"/>
                <w:sz w:val="20"/>
                <w:szCs w:val="20"/>
                <w:lang w:eastAsia="zh-CN"/>
              </w:rPr>
            </w:pPr>
            <w:r>
              <w:rPr>
                <w:rFonts w:hint="eastAsia" w:ascii="宋体" w:hAnsi="宋体" w:eastAsia="宋体" w:cs="宋体"/>
                <w:sz w:val="20"/>
                <w:szCs w:val="20"/>
              </w:rPr>
              <w:t xml:space="preserve">107dB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2882" w:type="dxa"/>
            <w:vAlign w:val="center"/>
          </w:tcPr>
          <w:p>
            <w:pPr>
              <w:spacing w:line="229" w:lineRule="exact"/>
              <w:ind w:left="119" w:right="106"/>
              <w:jc w:val="center"/>
              <w:rPr>
                <w:rFonts w:hint="eastAsia" w:ascii="宋体" w:hAnsi="宋体" w:eastAsia="宋体" w:cs="宋体"/>
                <w:sz w:val="20"/>
                <w:szCs w:val="20"/>
              </w:rPr>
            </w:pPr>
            <w:r>
              <w:rPr>
                <w:rFonts w:hint="eastAsia" w:ascii="宋体" w:hAnsi="宋体" w:eastAsia="宋体" w:cs="宋体"/>
                <w:sz w:val="20"/>
                <w:szCs w:val="20"/>
              </w:rPr>
              <w:t xml:space="preserve">网络接口                                    </w:t>
            </w:r>
          </w:p>
        </w:tc>
        <w:tc>
          <w:tcPr>
            <w:tcW w:w="4697" w:type="dxa"/>
            <w:vAlign w:val="center"/>
          </w:tcPr>
          <w:p>
            <w:pPr>
              <w:spacing w:line="229" w:lineRule="exact"/>
              <w:ind w:left="132"/>
              <w:jc w:val="center"/>
              <w:rPr>
                <w:rFonts w:hint="eastAsia" w:ascii="宋体" w:hAnsi="宋体" w:eastAsia="宋体" w:cs="宋体"/>
                <w:sz w:val="20"/>
                <w:szCs w:val="20"/>
              </w:rPr>
            </w:pPr>
            <w:r>
              <w:rPr>
                <w:rFonts w:hint="eastAsia" w:ascii="宋体" w:hAnsi="宋体" w:eastAsia="宋体" w:cs="宋体"/>
                <w:sz w:val="20"/>
                <w:szCs w:val="20"/>
              </w:rPr>
              <w:t xml:space="preserve"> 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2882" w:type="dxa"/>
            <w:vAlign w:val="center"/>
          </w:tcPr>
          <w:p>
            <w:pPr>
              <w:spacing w:line="229" w:lineRule="exact"/>
              <w:jc w:val="center"/>
              <w:rPr>
                <w:rFonts w:hint="eastAsia" w:ascii="宋体" w:hAnsi="宋体" w:eastAsia="宋体" w:cs="宋体"/>
                <w:color w:val="000006"/>
                <w:sz w:val="20"/>
                <w:szCs w:val="20"/>
              </w:rPr>
            </w:pPr>
            <w:r>
              <w:rPr>
                <w:rFonts w:hint="eastAsia" w:ascii="宋体" w:hAnsi="宋体" w:eastAsia="宋体" w:cs="宋体"/>
                <w:sz w:val="20"/>
                <w:szCs w:val="20"/>
              </w:rPr>
              <w:t xml:space="preserve">水平覆盖                                    </w:t>
            </w:r>
          </w:p>
        </w:tc>
        <w:tc>
          <w:tcPr>
            <w:tcW w:w="4697" w:type="dxa"/>
            <w:vAlign w:val="center"/>
          </w:tcPr>
          <w:p>
            <w:pPr>
              <w:spacing w:line="229" w:lineRule="exact"/>
              <w:jc w:val="center"/>
              <w:rPr>
                <w:rFonts w:hint="eastAsia" w:ascii="宋体" w:hAnsi="宋体" w:eastAsia="宋体" w:cs="宋体"/>
                <w:color w:val="000006"/>
                <w:sz w:val="20"/>
                <w:szCs w:val="20"/>
              </w:rPr>
            </w:pPr>
            <w:r>
              <w:rPr>
                <w:rFonts w:hint="eastAsia" w:ascii="宋体" w:hAnsi="宋体" w:eastAsia="宋体" w:cs="宋体"/>
                <w:sz w:val="20"/>
                <w:szCs w:val="20"/>
              </w:rPr>
              <w:t xml:space="preserve">110°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2882" w:type="dxa"/>
            <w:vAlign w:val="center"/>
          </w:tcPr>
          <w:p>
            <w:pPr>
              <w:spacing w:before="1" w:line="240" w:lineRule="auto"/>
              <w:ind w:left="119" w:right="108"/>
              <w:jc w:val="center"/>
              <w:rPr>
                <w:rFonts w:hint="eastAsia" w:ascii="宋体" w:hAnsi="宋体" w:eastAsia="宋体" w:cs="宋体"/>
                <w:sz w:val="20"/>
                <w:szCs w:val="20"/>
              </w:rPr>
            </w:pPr>
            <w:r>
              <w:rPr>
                <w:rFonts w:hint="eastAsia" w:ascii="宋体" w:hAnsi="宋体" w:eastAsia="宋体" w:cs="宋体"/>
                <w:sz w:val="20"/>
                <w:szCs w:val="20"/>
              </w:rPr>
              <w:t xml:space="preserve">垂直覆盖              </w:t>
            </w:r>
          </w:p>
        </w:tc>
        <w:tc>
          <w:tcPr>
            <w:tcW w:w="4697" w:type="dxa"/>
            <w:vAlign w:val="center"/>
          </w:tcPr>
          <w:p>
            <w:pPr>
              <w:spacing w:before="6" w:line="240" w:lineRule="auto"/>
              <w:jc w:val="center"/>
              <w:rPr>
                <w:rFonts w:hint="eastAsia" w:ascii="宋体" w:hAnsi="宋体" w:eastAsia="宋体" w:cs="宋体"/>
                <w:sz w:val="20"/>
                <w:szCs w:val="20"/>
              </w:rPr>
            </w:pPr>
            <w:r>
              <w:rPr>
                <w:rFonts w:hint="eastAsia" w:ascii="宋体" w:hAnsi="宋体" w:eastAsia="宋体" w:cs="宋体"/>
                <w:sz w:val="20"/>
                <w:szCs w:val="20"/>
              </w:rPr>
              <w:t xml:space="preserve">60°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2882" w:type="dxa"/>
            <w:vAlign w:val="center"/>
          </w:tcPr>
          <w:p>
            <w:pPr>
              <w:ind w:left="119" w:right="108"/>
              <w:jc w:val="center"/>
              <w:rPr>
                <w:rFonts w:hint="eastAsia" w:ascii="宋体" w:hAnsi="宋体" w:eastAsia="宋体" w:cs="宋体"/>
                <w:sz w:val="20"/>
                <w:szCs w:val="20"/>
              </w:rPr>
            </w:pPr>
            <w:r>
              <w:rPr>
                <w:rFonts w:hint="eastAsia" w:ascii="宋体" w:hAnsi="宋体" w:eastAsia="宋体" w:cs="宋体"/>
                <w:sz w:val="20"/>
                <w:szCs w:val="20"/>
              </w:rPr>
              <w:t xml:space="preserve">高频配置      </w:t>
            </w:r>
          </w:p>
        </w:tc>
        <w:tc>
          <w:tcPr>
            <w:tcW w:w="469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 xml:space="preserve">1”×1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2882"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 xml:space="preserve">高频配置 </w:t>
            </w:r>
          </w:p>
        </w:tc>
        <w:tc>
          <w:tcPr>
            <w:tcW w:w="469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 xml:space="preserve">钕磁4.5”×2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2882" w:type="dxa"/>
            <w:vAlign w:val="center"/>
          </w:tcPr>
          <w:p>
            <w:pPr>
              <w:ind w:left="119" w:right="108"/>
              <w:jc w:val="center"/>
              <w:rPr>
                <w:rFonts w:hint="eastAsia" w:ascii="宋体" w:hAnsi="宋体" w:eastAsia="宋体" w:cs="宋体"/>
                <w:sz w:val="20"/>
                <w:szCs w:val="20"/>
              </w:rPr>
            </w:pPr>
            <w:r>
              <w:rPr>
                <w:rFonts w:hint="eastAsia" w:ascii="宋体" w:hAnsi="宋体" w:eastAsia="宋体" w:cs="宋体"/>
                <w:sz w:val="20"/>
                <w:szCs w:val="20"/>
              </w:rPr>
              <w:t>电源</w:t>
            </w:r>
          </w:p>
        </w:tc>
        <w:tc>
          <w:tcPr>
            <w:tcW w:w="469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网络主机供电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2882" w:type="dxa"/>
            <w:vAlign w:val="center"/>
          </w:tcPr>
          <w:p>
            <w:pPr>
              <w:ind w:left="119" w:right="106"/>
              <w:jc w:val="center"/>
              <w:rPr>
                <w:rFonts w:hint="eastAsia" w:ascii="宋体" w:hAnsi="宋体" w:eastAsia="宋体" w:cs="宋体"/>
                <w:sz w:val="20"/>
                <w:szCs w:val="20"/>
              </w:rPr>
            </w:pPr>
            <w:r>
              <w:rPr>
                <w:rFonts w:hint="eastAsia" w:ascii="宋体" w:hAnsi="宋体" w:eastAsia="宋体" w:cs="宋体"/>
                <w:sz w:val="20"/>
                <w:szCs w:val="20"/>
              </w:rPr>
              <w:t>喷漆</w:t>
            </w:r>
          </w:p>
        </w:tc>
        <w:tc>
          <w:tcPr>
            <w:tcW w:w="469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黑色环保水性漆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2882" w:type="dxa"/>
            <w:vAlign w:val="center"/>
          </w:tcPr>
          <w:p>
            <w:pPr>
              <w:ind w:left="100" w:right="108"/>
              <w:jc w:val="center"/>
              <w:rPr>
                <w:rFonts w:hint="eastAsia" w:ascii="宋体" w:hAnsi="宋体" w:eastAsia="宋体" w:cs="宋体"/>
                <w:sz w:val="20"/>
                <w:szCs w:val="20"/>
              </w:rPr>
            </w:pPr>
            <w:r>
              <w:rPr>
                <w:rFonts w:hint="eastAsia" w:ascii="宋体" w:hAnsi="宋体" w:eastAsia="宋体" w:cs="宋体"/>
                <w:sz w:val="20"/>
                <w:szCs w:val="20"/>
              </w:rPr>
              <w:t>吊挂方式</w:t>
            </w:r>
          </w:p>
        </w:tc>
        <w:tc>
          <w:tcPr>
            <w:tcW w:w="469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标准三角支架/壁挂架（均为选购件）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2882" w:type="dxa"/>
            <w:vAlign w:val="center"/>
          </w:tcPr>
          <w:p>
            <w:pPr>
              <w:spacing w:before="1"/>
              <w:jc w:val="center"/>
              <w:rPr>
                <w:rFonts w:hint="eastAsia" w:ascii="宋体" w:hAnsi="宋体" w:eastAsia="宋体" w:cs="宋体"/>
                <w:color w:val="000006"/>
                <w:sz w:val="20"/>
                <w:szCs w:val="20"/>
              </w:rPr>
            </w:pPr>
            <w:r>
              <w:rPr>
                <w:rFonts w:hint="eastAsia" w:ascii="宋体" w:hAnsi="宋体" w:eastAsia="宋体" w:cs="宋体"/>
                <w:sz w:val="20"/>
                <w:szCs w:val="20"/>
              </w:rPr>
              <w:t>尺 寸（宽x深x高mm）</w:t>
            </w:r>
          </w:p>
        </w:tc>
        <w:tc>
          <w:tcPr>
            <w:tcW w:w="4697" w:type="dxa"/>
            <w:vAlign w:val="center"/>
          </w:tcPr>
          <w:p>
            <w:pPr>
              <w:spacing w:before="1"/>
              <w:ind w:firstLine="200" w:firstLineChars="100"/>
              <w:jc w:val="center"/>
              <w:rPr>
                <w:rFonts w:hint="eastAsia" w:ascii="宋体" w:hAnsi="宋体" w:eastAsia="宋体" w:cs="宋体"/>
                <w:color w:val="000006"/>
                <w:w w:val="105"/>
                <w:sz w:val="20"/>
                <w:szCs w:val="20"/>
              </w:rPr>
            </w:pPr>
            <w:r>
              <w:rPr>
                <w:rFonts w:hint="eastAsia" w:ascii="宋体" w:hAnsi="宋体" w:eastAsia="宋体" w:cs="宋体"/>
                <w:sz w:val="20"/>
                <w:szCs w:val="20"/>
              </w:rPr>
              <w:t xml:space="preserve">160×180×504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2882" w:type="dxa"/>
            <w:vAlign w:val="center"/>
          </w:tcPr>
          <w:p>
            <w:pPr>
              <w:ind w:left="118" w:right="108"/>
              <w:jc w:val="center"/>
              <w:rPr>
                <w:rFonts w:hint="eastAsia" w:ascii="宋体" w:hAnsi="宋体" w:eastAsia="宋体" w:cs="宋体"/>
                <w:sz w:val="20"/>
                <w:szCs w:val="20"/>
              </w:rPr>
            </w:pPr>
            <w:r>
              <w:rPr>
                <w:rFonts w:hint="eastAsia" w:ascii="宋体" w:hAnsi="宋体" w:eastAsia="宋体" w:cs="宋体"/>
                <w:sz w:val="20"/>
                <w:szCs w:val="20"/>
              </w:rPr>
              <w:t xml:space="preserve">重量 </w:t>
            </w:r>
          </w:p>
        </w:tc>
        <w:tc>
          <w:tcPr>
            <w:tcW w:w="469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5.85KG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42AC5900"/>
    <w:multiLevelType w:val="singleLevel"/>
    <w:tmpl w:val="42AC5900"/>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B49625D"/>
    <w:rsid w:val="1C024584"/>
    <w:rsid w:val="1D61352C"/>
    <w:rsid w:val="1E7B061E"/>
    <w:rsid w:val="1F0B7BF4"/>
    <w:rsid w:val="1F14208B"/>
    <w:rsid w:val="207F7B8E"/>
    <w:rsid w:val="21F11323"/>
    <w:rsid w:val="22EA5D72"/>
    <w:rsid w:val="24561911"/>
    <w:rsid w:val="25800FD6"/>
    <w:rsid w:val="25D30D3F"/>
    <w:rsid w:val="26913D65"/>
    <w:rsid w:val="26A34BB6"/>
    <w:rsid w:val="26D414C3"/>
    <w:rsid w:val="2A6428AE"/>
    <w:rsid w:val="2B1A3803"/>
    <w:rsid w:val="2B847C6D"/>
    <w:rsid w:val="2D1C7470"/>
    <w:rsid w:val="2D870D8D"/>
    <w:rsid w:val="2E335B48"/>
    <w:rsid w:val="2FB90FA6"/>
    <w:rsid w:val="302A3C52"/>
    <w:rsid w:val="302C5C1C"/>
    <w:rsid w:val="311A1F18"/>
    <w:rsid w:val="315E1E05"/>
    <w:rsid w:val="319620CE"/>
    <w:rsid w:val="3546508A"/>
    <w:rsid w:val="35AA386B"/>
    <w:rsid w:val="371C594F"/>
    <w:rsid w:val="393578EF"/>
    <w:rsid w:val="39616936"/>
    <w:rsid w:val="3A323E2F"/>
    <w:rsid w:val="3ACA6ACC"/>
    <w:rsid w:val="3B2A6DB9"/>
    <w:rsid w:val="3C4D4F50"/>
    <w:rsid w:val="3D5F318D"/>
    <w:rsid w:val="3DFC6C2D"/>
    <w:rsid w:val="3DFE0BF8"/>
    <w:rsid w:val="3E8D56DB"/>
    <w:rsid w:val="3F163D1F"/>
    <w:rsid w:val="402C30CE"/>
    <w:rsid w:val="40DC4AF4"/>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90A736D"/>
    <w:rsid w:val="69586B5E"/>
    <w:rsid w:val="69865576"/>
    <w:rsid w:val="6C044D7B"/>
    <w:rsid w:val="6DE035C6"/>
    <w:rsid w:val="6E680AEE"/>
    <w:rsid w:val="6EAD133E"/>
    <w:rsid w:val="6F7C10CD"/>
    <w:rsid w:val="6F8B37B6"/>
    <w:rsid w:val="7027728A"/>
    <w:rsid w:val="718A727E"/>
    <w:rsid w:val="72872262"/>
    <w:rsid w:val="746C5BB4"/>
    <w:rsid w:val="74FC0CE6"/>
    <w:rsid w:val="759E7FEF"/>
    <w:rsid w:val="76253108"/>
    <w:rsid w:val="76766876"/>
    <w:rsid w:val="76E71522"/>
    <w:rsid w:val="76E93A99"/>
    <w:rsid w:val="77316C41"/>
    <w:rsid w:val="77BE6DDB"/>
    <w:rsid w:val="77BF424C"/>
    <w:rsid w:val="77EC376A"/>
    <w:rsid w:val="78FC4816"/>
    <w:rsid w:val="794932DF"/>
    <w:rsid w:val="7B0C08C7"/>
    <w:rsid w:val="7B9675B2"/>
    <w:rsid w:val="7BF248CD"/>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992</Words>
  <Characters>1076</Characters>
  <Lines>6</Lines>
  <Paragraphs>1</Paragraphs>
  <TotalTime>2</TotalTime>
  <ScaleCrop>false</ScaleCrop>
  <LinksUpToDate>false</LinksUpToDate>
  <CharactersWithSpaces>1093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2022-12-13T06:56:21Z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B0A5B0B2C53D402EB91FA88E8ED109AC</vt:lpwstr>
  </property>
</Properties>
</file>