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Hlk34051380"/>
    </w:p>
    <w:p>
      <w:pPr>
        <w:pStyle w:val="2"/>
        <w:rPr>
          <w:rFonts w:hint="eastAsia"/>
          <w:lang w:val="en-US" w:eastAsia="zh-CN"/>
        </w:rPr>
      </w:pPr>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PoE有源音柱</w:t>
      </w:r>
    </w:p>
    <w:p>
      <w:pPr>
        <w:pStyle w:val="2"/>
        <w:rPr>
          <w:rFonts w:hint="default"/>
          <w:lang w:val="en-US" w:eastAsia="zh-CN"/>
        </w:rPr>
      </w:pPr>
    </w:p>
    <w:p>
      <w:pPr>
        <w:spacing w:line="360" w:lineRule="auto"/>
        <w:ind w:firstLine="3960" w:firstLineChars="1100"/>
        <w:jc w:val="left"/>
        <w:rPr>
          <w:rFonts w:hint="eastAsia" w:ascii="微软雅黑" w:hAnsi="微软雅黑" w:eastAsia="微软雅黑"/>
          <w:b w:val="0"/>
          <w:bCs/>
          <w:sz w:val="36"/>
          <w:szCs w:val="36"/>
          <w:highlight w:val="none"/>
          <w:lang w:val="en-US" w:eastAsia="zh-CN"/>
        </w:rPr>
      </w:pPr>
      <w:bookmarkStart w:id="1" w:name="_GoBack"/>
      <w:r>
        <w:rPr>
          <w:rFonts w:hint="eastAsia" w:ascii="微软雅黑" w:hAnsi="微软雅黑" w:eastAsia="微软雅黑"/>
          <w:b w:val="0"/>
          <w:bCs/>
          <w:sz w:val="36"/>
          <w:szCs w:val="36"/>
          <w:highlight w:val="none"/>
          <w:lang w:val="en-US" w:eastAsia="zh-CN"/>
        </w:rPr>
        <w:t>DA-RLO845</w:t>
      </w:r>
    </w:p>
    <w:bookmarkEnd w:id="1"/>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ascii="宋体" w:hAnsi="宋体" w:eastAsia="宋体" w:cs="宋体"/>
          <w:sz w:val="20"/>
        </w:rPr>
        <w:drawing>
          <wp:inline distT="0" distB="0" distL="0" distR="0">
            <wp:extent cx="615950" cy="1952625"/>
            <wp:effectExtent l="0" t="0" r="317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616060" cy="1952910"/>
                    </a:xfrm>
                    <a:prstGeom prst="rect">
                      <a:avLst/>
                    </a:prstGeom>
                  </pic:spPr>
                </pic:pic>
              </a:graphicData>
            </a:graphic>
          </wp:inline>
        </w:drawing>
      </w: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款扬声器采用PoE动力模组直驱，采用单通道低阻驱动模式和高效D类功率放大技术，通过PoE网络交换机汲取功率，实现高效率能量转换。由于是采用Dante网络音频传输技术，可以提供高品质低延时的音频输出，为小型会议室、小范围区域扩声提供最佳分布式布署方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该动力模块具有DSP功能，包括模块工作温度实时检测，信号电平显示、增益调节、静音、5段PEQ、高低通滤波器和限幅器等处理功能，并支持网络网络远程发现和控制。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0" w:hanging="42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此外，该模组为无风扇设计，降低本底噪声和提高了稳定性。同时还具有高温保护、过载保护和短路保护等多种保护措施。</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二、产品参数</w:t>
      </w:r>
    </w:p>
    <w:p>
      <w:pPr>
        <w:pStyle w:val="2"/>
        <w:rPr>
          <w:rFonts w:hint="eastAsia"/>
          <w:lang w:val="en-US" w:eastAsia="zh-CN"/>
        </w:rPr>
      </w:pPr>
    </w:p>
    <w:tbl>
      <w:tblPr>
        <w:tblStyle w:val="14"/>
        <w:tblpPr w:leftFromText="180" w:rightFromText="180" w:vertAnchor="text" w:horzAnchor="page" w:tblpXSpec="center" w:tblpY="372"/>
        <w:tblOverlap w:val="never"/>
        <w:tblW w:w="75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82"/>
        <w:gridCol w:w="4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color w:val="000006"/>
                <w:sz w:val="20"/>
                <w:szCs w:val="20"/>
              </w:rPr>
            </w:pPr>
            <w:r>
              <w:rPr>
                <w:rFonts w:hint="eastAsia" w:ascii="宋体" w:hAnsi="宋体" w:eastAsia="宋体" w:cs="宋体"/>
                <w:sz w:val="20"/>
                <w:szCs w:val="20"/>
              </w:rPr>
              <w:t xml:space="preserve">功放类型      </w:t>
            </w:r>
          </w:p>
        </w:tc>
        <w:tc>
          <w:tcPr>
            <w:tcW w:w="4697" w:type="dxa"/>
            <w:vAlign w:val="center"/>
          </w:tcPr>
          <w:p>
            <w:pPr>
              <w:jc w:val="center"/>
              <w:rPr>
                <w:rFonts w:hint="eastAsia" w:ascii="宋体" w:hAnsi="宋体" w:eastAsia="宋体" w:cs="宋体"/>
                <w:color w:val="000006"/>
                <w:spacing w:val="4"/>
                <w:sz w:val="20"/>
                <w:szCs w:val="20"/>
              </w:rPr>
            </w:pPr>
            <w:r>
              <w:rPr>
                <w:rFonts w:hint="eastAsia" w:ascii="宋体" w:hAnsi="宋体" w:eastAsia="宋体" w:cs="宋体"/>
                <w:sz w:val="20"/>
                <w:szCs w:val="20"/>
              </w:rPr>
              <w:t xml:space="preserve">PoE功放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 xml:space="preserve">额定功率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120W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lang w:eastAsia="zh-CN"/>
              </w:rPr>
            </w:pPr>
            <w:r>
              <w:rPr>
                <w:rFonts w:hint="eastAsia" w:ascii="宋体" w:hAnsi="宋体" w:eastAsia="宋体" w:cs="宋体"/>
                <w:sz w:val="20"/>
                <w:szCs w:val="20"/>
              </w:rPr>
              <w:t>频率范围</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140Hz-19KHz(±3dB)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灵敏度</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87dB±3dB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color w:val="000006"/>
                <w:sz w:val="20"/>
                <w:szCs w:val="20"/>
                <w:lang w:eastAsia="zh-CN"/>
              </w:rPr>
            </w:pPr>
            <w:r>
              <w:rPr>
                <w:rFonts w:hint="eastAsia" w:ascii="宋体" w:hAnsi="宋体" w:eastAsia="宋体" w:cs="宋体"/>
                <w:sz w:val="20"/>
                <w:szCs w:val="20"/>
              </w:rPr>
              <w:t xml:space="preserve">最大声压级    </w:t>
            </w:r>
          </w:p>
        </w:tc>
        <w:tc>
          <w:tcPr>
            <w:tcW w:w="4697" w:type="dxa"/>
            <w:vAlign w:val="center"/>
          </w:tcPr>
          <w:p>
            <w:pPr>
              <w:ind w:left="119" w:right="108"/>
              <w:jc w:val="center"/>
              <w:rPr>
                <w:rFonts w:hint="eastAsia" w:ascii="宋体" w:hAnsi="宋体" w:eastAsia="宋体" w:cs="宋体"/>
                <w:color w:val="000006"/>
                <w:sz w:val="20"/>
                <w:szCs w:val="20"/>
                <w:lang w:eastAsia="zh-CN"/>
              </w:rPr>
            </w:pPr>
            <w:r>
              <w:rPr>
                <w:rFonts w:hint="eastAsia" w:ascii="宋体" w:hAnsi="宋体" w:eastAsia="宋体" w:cs="宋体"/>
                <w:sz w:val="20"/>
                <w:szCs w:val="20"/>
              </w:rPr>
              <w:t xml:space="preserve">107dB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2882" w:type="dxa"/>
            <w:vAlign w:val="center"/>
          </w:tcPr>
          <w:p>
            <w:pPr>
              <w:spacing w:line="229" w:lineRule="exact"/>
              <w:ind w:left="119" w:right="106"/>
              <w:jc w:val="center"/>
              <w:rPr>
                <w:rFonts w:hint="eastAsia" w:ascii="宋体" w:hAnsi="宋体" w:eastAsia="宋体" w:cs="宋体"/>
                <w:sz w:val="20"/>
                <w:szCs w:val="20"/>
              </w:rPr>
            </w:pPr>
            <w:r>
              <w:rPr>
                <w:rFonts w:hint="eastAsia" w:ascii="宋体" w:hAnsi="宋体" w:eastAsia="宋体" w:cs="宋体"/>
                <w:sz w:val="20"/>
                <w:szCs w:val="20"/>
              </w:rPr>
              <w:t xml:space="preserve">网络接口                           </w:t>
            </w:r>
          </w:p>
        </w:tc>
        <w:tc>
          <w:tcPr>
            <w:tcW w:w="4697" w:type="dxa"/>
            <w:vAlign w:val="center"/>
          </w:tcPr>
          <w:p>
            <w:pPr>
              <w:spacing w:line="229" w:lineRule="exact"/>
              <w:ind w:left="132"/>
              <w:jc w:val="center"/>
              <w:rPr>
                <w:rFonts w:hint="eastAsia" w:ascii="宋体" w:hAnsi="宋体" w:eastAsia="宋体" w:cs="宋体"/>
                <w:sz w:val="20"/>
                <w:szCs w:val="20"/>
              </w:rPr>
            </w:pPr>
            <w:r>
              <w:rPr>
                <w:rFonts w:hint="eastAsia" w:ascii="宋体" w:hAnsi="宋体" w:eastAsia="宋体" w:cs="宋体"/>
                <w:sz w:val="20"/>
                <w:szCs w:val="20"/>
              </w:rPr>
              <w:t xml:space="preserve">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jc w:val="center"/>
        </w:trPr>
        <w:tc>
          <w:tcPr>
            <w:tcW w:w="2882" w:type="dxa"/>
            <w:vAlign w:val="center"/>
          </w:tcPr>
          <w:p>
            <w:pPr>
              <w:spacing w:line="229" w:lineRule="exact"/>
              <w:jc w:val="center"/>
              <w:rPr>
                <w:rFonts w:hint="eastAsia" w:ascii="宋体" w:hAnsi="宋体" w:eastAsia="宋体" w:cs="宋体"/>
                <w:color w:val="000006"/>
                <w:sz w:val="20"/>
                <w:szCs w:val="20"/>
              </w:rPr>
            </w:pPr>
            <w:r>
              <w:rPr>
                <w:rFonts w:hint="eastAsia" w:ascii="宋体" w:hAnsi="宋体" w:eastAsia="宋体" w:cs="宋体"/>
                <w:sz w:val="20"/>
                <w:szCs w:val="20"/>
              </w:rPr>
              <w:t xml:space="preserve">水平覆盖                              </w:t>
            </w:r>
          </w:p>
        </w:tc>
        <w:tc>
          <w:tcPr>
            <w:tcW w:w="4697" w:type="dxa"/>
            <w:vAlign w:val="center"/>
          </w:tcPr>
          <w:p>
            <w:pPr>
              <w:spacing w:line="229" w:lineRule="exact"/>
              <w:jc w:val="center"/>
              <w:rPr>
                <w:rFonts w:hint="eastAsia" w:ascii="宋体" w:hAnsi="宋体" w:eastAsia="宋体" w:cs="宋体"/>
                <w:color w:val="000006"/>
                <w:sz w:val="20"/>
                <w:szCs w:val="20"/>
              </w:rPr>
            </w:pPr>
            <w:r>
              <w:rPr>
                <w:rFonts w:hint="eastAsia" w:ascii="宋体" w:hAnsi="宋体" w:eastAsia="宋体" w:cs="宋体"/>
                <w:sz w:val="20"/>
                <w:szCs w:val="20"/>
              </w:rPr>
              <w:t xml:space="preserve">110°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jc w:val="center"/>
        </w:trPr>
        <w:tc>
          <w:tcPr>
            <w:tcW w:w="2882" w:type="dxa"/>
            <w:vAlign w:val="center"/>
          </w:tcPr>
          <w:p>
            <w:pPr>
              <w:spacing w:before="1" w:line="240" w:lineRule="auto"/>
              <w:ind w:left="119" w:right="108"/>
              <w:jc w:val="center"/>
              <w:rPr>
                <w:rFonts w:hint="eastAsia" w:ascii="宋体" w:hAnsi="宋体" w:eastAsia="宋体" w:cs="宋体"/>
                <w:sz w:val="20"/>
                <w:szCs w:val="20"/>
              </w:rPr>
            </w:pPr>
            <w:r>
              <w:rPr>
                <w:rFonts w:hint="eastAsia" w:ascii="宋体" w:hAnsi="宋体" w:eastAsia="宋体" w:cs="宋体"/>
                <w:sz w:val="20"/>
                <w:szCs w:val="20"/>
              </w:rPr>
              <w:t xml:space="preserve">垂直覆盖          </w:t>
            </w:r>
          </w:p>
        </w:tc>
        <w:tc>
          <w:tcPr>
            <w:tcW w:w="4697" w:type="dxa"/>
            <w:vAlign w:val="center"/>
          </w:tcPr>
          <w:p>
            <w:pPr>
              <w:spacing w:before="6" w:line="240" w:lineRule="auto"/>
              <w:jc w:val="center"/>
              <w:rPr>
                <w:rFonts w:hint="eastAsia" w:ascii="宋体" w:hAnsi="宋体" w:eastAsia="宋体" w:cs="宋体"/>
                <w:sz w:val="20"/>
                <w:szCs w:val="20"/>
              </w:rPr>
            </w:pPr>
            <w:r>
              <w:rPr>
                <w:rFonts w:hint="eastAsia" w:ascii="宋体" w:hAnsi="宋体" w:eastAsia="宋体" w:cs="宋体"/>
                <w:sz w:val="20"/>
                <w:szCs w:val="20"/>
              </w:rPr>
              <w:t xml:space="preserve">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 xml:space="preserve">高频配置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 xml:space="preserve">1”×2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低频配置</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钕磁4.5”×8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8"/>
              <w:jc w:val="center"/>
              <w:rPr>
                <w:rFonts w:hint="eastAsia" w:ascii="宋体" w:hAnsi="宋体" w:eastAsia="宋体" w:cs="宋体"/>
                <w:sz w:val="20"/>
                <w:szCs w:val="20"/>
              </w:rPr>
            </w:pPr>
            <w:r>
              <w:rPr>
                <w:rFonts w:hint="eastAsia" w:ascii="宋体" w:hAnsi="宋体" w:eastAsia="宋体" w:cs="宋体"/>
                <w:sz w:val="20"/>
                <w:szCs w:val="20"/>
              </w:rPr>
              <w:t>电源</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网络主机供电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19" w:right="106"/>
              <w:jc w:val="center"/>
              <w:rPr>
                <w:rFonts w:hint="eastAsia" w:ascii="宋体" w:hAnsi="宋体" w:eastAsia="宋体" w:cs="宋体"/>
                <w:sz w:val="20"/>
                <w:szCs w:val="20"/>
              </w:rPr>
            </w:pPr>
            <w:r>
              <w:rPr>
                <w:rFonts w:hint="eastAsia" w:ascii="宋体" w:hAnsi="宋体" w:eastAsia="宋体" w:cs="宋体"/>
                <w:sz w:val="20"/>
                <w:szCs w:val="20"/>
              </w:rPr>
              <w:t>喷漆</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黑色环保水性漆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2882" w:type="dxa"/>
            <w:vAlign w:val="center"/>
          </w:tcPr>
          <w:p>
            <w:pPr>
              <w:ind w:left="100" w:right="108"/>
              <w:jc w:val="center"/>
              <w:rPr>
                <w:rFonts w:hint="eastAsia" w:ascii="宋体" w:hAnsi="宋体" w:eastAsia="宋体" w:cs="宋体"/>
                <w:sz w:val="20"/>
                <w:szCs w:val="20"/>
              </w:rPr>
            </w:pPr>
            <w:r>
              <w:rPr>
                <w:rFonts w:hint="eastAsia" w:ascii="宋体" w:hAnsi="宋体" w:eastAsia="宋体" w:cs="宋体"/>
                <w:sz w:val="20"/>
                <w:szCs w:val="20"/>
              </w:rPr>
              <w:t>吊挂方式</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标准三角支架/壁挂架（均为选购件）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2882" w:type="dxa"/>
            <w:vAlign w:val="center"/>
          </w:tcPr>
          <w:p>
            <w:pPr>
              <w:spacing w:before="1"/>
              <w:jc w:val="center"/>
              <w:rPr>
                <w:rFonts w:hint="eastAsia" w:ascii="宋体" w:hAnsi="宋体" w:eastAsia="宋体" w:cs="宋体"/>
                <w:color w:val="000006"/>
                <w:sz w:val="20"/>
                <w:szCs w:val="20"/>
              </w:rPr>
            </w:pPr>
            <w:r>
              <w:rPr>
                <w:rFonts w:hint="eastAsia" w:ascii="宋体" w:hAnsi="宋体" w:eastAsia="宋体" w:cs="宋体"/>
                <w:sz w:val="20"/>
                <w:szCs w:val="20"/>
              </w:rPr>
              <w:t>尺寸（宽x深x高mm）</w:t>
            </w:r>
          </w:p>
        </w:tc>
        <w:tc>
          <w:tcPr>
            <w:tcW w:w="4697" w:type="dxa"/>
            <w:vAlign w:val="center"/>
          </w:tcPr>
          <w:p>
            <w:pPr>
              <w:spacing w:before="1"/>
              <w:ind w:firstLine="200" w:firstLineChars="100"/>
              <w:jc w:val="center"/>
              <w:rPr>
                <w:rFonts w:hint="eastAsia" w:ascii="宋体" w:hAnsi="宋体" w:eastAsia="宋体" w:cs="宋体"/>
                <w:color w:val="000006"/>
                <w:w w:val="105"/>
                <w:sz w:val="20"/>
                <w:szCs w:val="20"/>
              </w:rPr>
            </w:pPr>
            <w:r>
              <w:rPr>
                <w:rFonts w:hint="eastAsia" w:ascii="宋体" w:hAnsi="宋体" w:eastAsia="宋体" w:cs="宋体"/>
                <w:sz w:val="20"/>
                <w:szCs w:val="20"/>
              </w:rPr>
              <w:t>160×180×1400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2882" w:type="dxa"/>
            <w:vAlign w:val="center"/>
          </w:tcPr>
          <w:p>
            <w:pPr>
              <w:ind w:left="118" w:right="108"/>
              <w:jc w:val="center"/>
              <w:rPr>
                <w:rFonts w:hint="eastAsia" w:ascii="宋体" w:hAnsi="宋体" w:eastAsia="宋体" w:cs="宋体"/>
                <w:sz w:val="20"/>
                <w:szCs w:val="20"/>
              </w:rPr>
            </w:pPr>
            <w:r>
              <w:rPr>
                <w:rFonts w:hint="eastAsia" w:ascii="宋体" w:hAnsi="宋体" w:eastAsia="宋体" w:cs="宋体"/>
                <w:sz w:val="20"/>
                <w:szCs w:val="20"/>
              </w:rPr>
              <w:t xml:space="preserve">重量 </w:t>
            </w:r>
          </w:p>
        </w:tc>
        <w:tc>
          <w:tcPr>
            <w:tcW w:w="469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14.0KG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PMingLiU">
    <w:altName w:val="Segoe Print"/>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0A8FD5A3"/>
    <w:multiLevelType w:val="singleLevel"/>
    <w:tmpl w:val="0A8FD5A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6D414C3"/>
    <w:rsid w:val="2A6428AE"/>
    <w:rsid w:val="2B1A3803"/>
    <w:rsid w:val="2B847C6D"/>
    <w:rsid w:val="2D1C7470"/>
    <w:rsid w:val="2D870D8D"/>
    <w:rsid w:val="2E335B48"/>
    <w:rsid w:val="2FB90FA6"/>
    <w:rsid w:val="302A3C52"/>
    <w:rsid w:val="302C5C1C"/>
    <w:rsid w:val="311A1F18"/>
    <w:rsid w:val="315E1E05"/>
    <w:rsid w:val="319620CE"/>
    <w:rsid w:val="3546508A"/>
    <w:rsid w:val="35AA386B"/>
    <w:rsid w:val="371C594F"/>
    <w:rsid w:val="393578EF"/>
    <w:rsid w:val="39616936"/>
    <w:rsid w:val="3A323E2F"/>
    <w:rsid w:val="3ACA6ACC"/>
    <w:rsid w:val="3B2A6DB9"/>
    <w:rsid w:val="3C4D4F50"/>
    <w:rsid w:val="3D5F318D"/>
    <w:rsid w:val="3DFC6C2D"/>
    <w:rsid w:val="3DFE0BF8"/>
    <w:rsid w:val="3E8D56DB"/>
    <w:rsid w:val="3F163D1F"/>
    <w:rsid w:val="402C30CE"/>
    <w:rsid w:val="40DC4AF4"/>
    <w:rsid w:val="410B3F30"/>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6F8B37B6"/>
    <w:rsid w:val="7027728A"/>
    <w:rsid w:val="718A727E"/>
    <w:rsid w:val="72872262"/>
    <w:rsid w:val="746C5BB4"/>
    <w:rsid w:val="74FC0CE6"/>
    <w:rsid w:val="759E7FEF"/>
    <w:rsid w:val="76253108"/>
    <w:rsid w:val="76766876"/>
    <w:rsid w:val="76E71522"/>
    <w:rsid w:val="76E93A99"/>
    <w:rsid w:val="77316C41"/>
    <w:rsid w:val="77BE6DDB"/>
    <w:rsid w:val="77BF424C"/>
    <w:rsid w:val="77EC376A"/>
    <w:rsid w:val="78FC4816"/>
    <w:rsid w:val="794932DF"/>
    <w:rsid w:val="7B0C08C7"/>
    <w:rsid w:val="7B9675B2"/>
    <w:rsid w:val="7BF248CD"/>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992</Words>
  <Characters>1076</Characters>
  <Lines>6</Lines>
  <Paragraphs>1</Paragraphs>
  <TotalTime>1</TotalTime>
  <ScaleCrop>false</ScaleCrop>
  <LinksUpToDate>false</LinksUpToDate>
  <CharactersWithSpaces>1093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2022-12-13T06:52:34Z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BA7B60F7427C442095D9E8D7211F2F81</vt:lpwstr>
  </property>
</Properties>
</file>