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PoE有源吸顶音箱</w:t>
      </w:r>
    </w:p>
    <w:p>
      <w:pPr>
        <w:spacing w:line="360" w:lineRule="auto"/>
        <w:ind w:firstLine="3960" w:firstLineChars="11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DA-RPO80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2496820</wp:posOffset>
            </wp:positionH>
            <wp:positionV relativeFrom="paragraph">
              <wp:posOffset>130810</wp:posOffset>
            </wp:positionV>
            <wp:extent cx="1951355" cy="1816100"/>
            <wp:effectExtent l="0" t="0" r="1270" b="3175"/>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6" cstate="print"/>
                    <a:stretch>
                      <a:fillRect/>
                    </a:stretch>
                  </pic:blipFill>
                  <pic:spPr>
                    <a:xfrm>
                      <a:off x="0" y="0"/>
                      <a:ext cx="1951395" cy="1816607"/>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款扬声器采用PoE动力模组直驱，采用单通道低阻驱动模式和高效D类功率放大技术，通过PoE网络交换机汲取功率，实现高效率能量转换。由于是采用Dante网络音频传输技术，可以提供高品质低延时的音频输出，为小型会议室、小范围区域扩声提供最佳分布式布署方案。</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该动力模块具有DSP功能，包括模块工作温度实时检测，信号电平显示、增益调节、静音、5段PEQ、高低通滤波器和限幅器等处理功能，并支持网络网络远程发现和控制。</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此外，该模组为无风扇设计，降低本底噪声和提高了稳定性。同时还具有高温保护、过载保护和短路保护等多种保护措施。</w:t>
      </w: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p>
      <w:pPr>
        <w:pStyle w:val="2"/>
        <w:rPr>
          <w:rFonts w:hint="eastAsia"/>
          <w:lang w:val="en-US" w:eastAsia="zh-CN"/>
        </w:rPr>
      </w:pPr>
    </w:p>
    <w:tbl>
      <w:tblPr>
        <w:tblStyle w:val="14"/>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97"/>
        <w:gridCol w:w="3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2997" w:type="dxa"/>
            <w:vAlign w:val="center"/>
          </w:tcPr>
          <w:p>
            <w:pPr>
              <w:spacing w:before="42" w:line="240"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额定功率</w:t>
            </w:r>
          </w:p>
        </w:tc>
        <w:tc>
          <w:tcPr>
            <w:tcW w:w="3882" w:type="dxa"/>
            <w:vAlign w:val="center"/>
          </w:tcPr>
          <w:p>
            <w:pPr>
              <w:spacing w:line="189" w:lineRule="auto"/>
              <w:ind w:left="0" w:leftChars="0" w:right="0" w:rightChars="0" w:firstLine="200" w:firstLineChars="100"/>
              <w:jc w:val="center"/>
              <w:rPr>
                <w:rFonts w:hint="eastAsia" w:ascii="宋体" w:hAnsi="宋体" w:eastAsia="宋体" w:cs="宋体"/>
                <w:sz w:val="20"/>
                <w:szCs w:val="20"/>
              </w:rPr>
            </w:pPr>
            <w:r>
              <w:rPr>
                <w:rFonts w:hint="eastAsia" w:ascii="宋体" w:hAnsi="宋体" w:eastAsia="宋体" w:cs="宋体"/>
                <w:sz w:val="20"/>
                <w:szCs w:val="20"/>
              </w:rPr>
              <w:t>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灵敏度</w:t>
            </w:r>
          </w:p>
        </w:tc>
        <w:tc>
          <w:tcPr>
            <w:tcW w:w="3882" w:type="dxa"/>
            <w:vAlign w:val="center"/>
          </w:tcPr>
          <w:p>
            <w:pPr>
              <w:spacing w:before="3" w:line="240"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87dB±3dB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频率范围</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90-16KHz(±3dB)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最大声压级</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107dB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jc w:val="center"/>
        </w:trPr>
        <w:tc>
          <w:tcPr>
            <w:tcW w:w="2997" w:type="dxa"/>
            <w:vAlign w:val="center"/>
          </w:tcPr>
          <w:p>
            <w:pPr>
              <w:spacing w:line="276"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网络接口 (Dante)</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jc w:val="center"/>
        </w:trPr>
        <w:tc>
          <w:tcPr>
            <w:tcW w:w="2997" w:type="dxa"/>
            <w:vAlign w:val="center"/>
          </w:tcPr>
          <w:p>
            <w:pPr>
              <w:pStyle w:val="33"/>
              <w:spacing w:before="1" w:line="240" w:lineRule="auto"/>
              <w:ind w:left="292" w:leftChars="0" w:right="279" w:rightChars="0"/>
              <w:jc w:val="center"/>
              <w:rPr>
                <w:rFonts w:hint="eastAsia" w:ascii="宋体" w:hAnsi="宋体" w:eastAsia="宋体" w:cs="宋体"/>
                <w:sz w:val="20"/>
                <w:szCs w:val="20"/>
              </w:rPr>
            </w:pPr>
            <w:r>
              <w:rPr>
                <w:rFonts w:hint="eastAsia" w:ascii="宋体" w:hAnsi="宋体" w:eastAsia="宋体" w:cs="宋体"/>
                <w:sz w:val="20"/>
                <w:szCs w:val="20"/>
              </w:rPr>
              <w:t>覆盖⻆度</w:t>
            </w:r>
          </w:p>
        </w:tc>
        <w:tc>
          <w:tcPr>
            <w:tcW w:w="3882" w:type="dxa"/>
            <w:vAlign w:val="center"/>
          </w:tcPr>
          <w:p>
            <w:pPr>
              <w:pStyle w:val="33"/>
              <w:spacing w:before="9" w:line="240" w:lineRule="auto"/>
              <w:jc w:val="center"/>
              <w:rPr>
                <w:rFonts w:hint="eastAsia" w:ascii="宋体" w:hAnsi="宋体" w:eastAsia="宋体" w:cs="宋体"/>
                <w:sz w:val="20"/>
                <w:szCs w:val="20"/>
              </w:rPr>
            </w:pPr>
            <w:r>
              <w:rPr>
                <w:rFonts w:hint="eastAsia" w:ascii="宋体" w:hAnsi="宋体" w:eastAsia="宋体" w:cs="宋体"/>
                <w:color w:val="000006"/>
                <w:w w:val="105"/>
                <w:sz w:val="20"/>
                <w:szCs w:val="20"/>
              </w:rPr>
              <w:t>120°*120°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高音配置</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2997" w:type="dxa"/>
            <w:vAlign w:val="center"/>
          </w:tcPr>
          <w:p>
            <w:pPr>
              <w:spacing w:line="273"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低音配置</w:t>
            </w:r>
          </w:p>
        </w:tc>
        <w:tc>
          <w:tcPr>
            <w:tcW w:w="3882" w:type="dxa"/>
            <w:vAlign w:val="center"/>
          </w:tcPr>
          <w:p>
            <w:pPr>
              <w:spacing w:before="9" w:line="240" w:lineRule="auto"/>
              <w:ind w:left="0" w:leftChars="0" w:right="0" w:rightChars="0" w:firstLine="200" w:firstLineChars="100"/>
              <w:jc w:val="center"/>
              <w:rPr>
                <w:rFonts w:hint="eastAsia" w:ascii="宋体" w:hAnsi="宋体" w:eastAsia="宋体" w:cs="宋体"/>
                <w:sz w:val="20"/>
                <w:szCs w:val="20"/>
              </w:rPr>
            </w:pPr>
            <w:r>
              <w:rPr>
                <w:rFonts w:hint="eastAsia" w:ascii="宋体" w:hAnsi="宋体" w:eastAsia="宋体" w:cs="宋体"/>
                <w:sz w:val="20"/>
                <w:szCs w:val="20"/>
                <w:lang w:val="en-US" w:eastAsia="zh-CN"/>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jc w:val="center"/>
        </w:trPr>
        <w:tc>
          <w:tcPr>
            <w:tcW w:w="2997" w:type="dxa"/>
            <w:vAlign w:val="center"/>
          </w:tcPr>
          <w:p>
            <w:pPr>
              <w:spacing w:line="276"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电    源</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网络主机供电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吊挂方式</w:t>
            </w:r>
          </w:p>
        </w:tc>
        <w:tc>
          <w:tcPr>
            <w:tcW w:w="3882" w:type="dxa"/>
            <w:vAlign w:val="center"/>
          </w:tcPr>
          <w:p>
            <w:pPr>
              <w:spacing w:line="276" w:lineRule="exact"/>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内置卡扣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开孔尺寸</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Φ248(±3)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尺    寸 ）</w:t>
            </w:r>
          </w:p>
        </w:tc>
        <w:tc>
          <w:tcPr>
            <w:tcW w:w="3882" w:type="dxa"/>
            <w:vAlign w:val="center"/>
          </w:tcPr>
          <w:p>
            <w:pPr>
              <w:ind w:right="0" w:rightChars="0"/>
              <w:jc w:val="center"/>
              <w:rPr>
                <w:rFonts w:hint="eastAsia" w:ascii="宋体" w:hAnsi="宋体" w:eastAsia="宋体" w:cs="宋体"/>
                <w:sz w:val="20"/>
                <w:szCs w:val="20"/>
              </w:rPr>
            </w:pPr>
            <w:r>
              <w:rPr>
                <w:rFonts w:hint="eastAsia" w:ascii="宋体" w:hAnsi="宋体" w:eastAsia="宋体" w:cs="宋体"/>
                <w:sz w:val="20"/>
                <w:szCs w:val="20"/>
              </w:rPr>
              <w:t>Φ280×195（有边）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jc w:val="center"/>
        </w:trPr>
        <w:tc>
          <w:tcPr>
            <w:tcW w:w="2997"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重    量</w:t>
            </w:r>
          </w:p>
        </w:tc>
        <w:tc>
          <w:tcPr>
            <w:tcW w:w="3882" w:type="dxa"/>
            <w:vAlign w:val="center"/>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2.70KG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0FE13AE6"/>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054DAC"/>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29131E"/>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977</Words>
  <Characters>1066</Characters>
  <Lines>6</Lines>
  <Paragraphs>1</Paragraphs>
  <TotalTime>0</TotalTime>
  <ScaleCrop>false</ScaleCrop>
  <LinksUpToDate>false</LinksUpToDate>
  <CharactersWithSpaces>1081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2022-11-27T02:04:10Z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1725987F4C384D0797C6D28B2F0BF301</vt:lpwstr>
  </property>
</Properties>
</file>