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DY-2600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w:t>
      </w:r>
      <w:r>
        <w:rPr>
          <w:rFonts w:hint="eastAsia" w:ascii="微软雅黑" w:hAnsi="微软雅黑" w:eastAsia="微软雅黑" w:cs="微软雅黑"/>
          <w:sz w:val="24"/>
          <w:szCs w:val="24"/>
          <w:highlight w:val="none"/>
        </w:rPr>
        <w:t>术有限公司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bookmarkStart w:id="1" w:name="_GoBack"/>
      <w:bookmarkEnd w:id="1"/>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1930400</wp:posOffset>
            </wp:positionH>
            <wp:positionV relativeFrom="paragraph">
              <wp:posOffset>88900</wp:posOffset>
            </wp:positionV>
            <wp:extent cx="2754630" cy="781050"/>
            <wp:effectExtent l="0" t="0" r="7620" b="0"/>
            <wp:wrapSquare wrapText="bothSides"/>
            <wp:docPr id="1" name="image2.jpeg" descr="/Users/ousei/Desktop/DynePro 系列产品资料2021Q3/专业音频扩声/产品图片/功放/DANACOID DY-2600.jpgDANACOID DY-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sers/ousei/Desktop/DynePro 系列产品资料2021Q3/专业音频扩声/产品图片/功放/DANACOID DY-2600.jpgDANACOID DY-2600"/>
                    <pic:cNvPicPr>
                      <a:picLocks noChangeAspect="1"/>
                    </pic:cNvPicPr>
                  </pic:nvPicPr>
                  <pic:blipFill>
                    <a:blip r:embed="rId6"/>
                    <a:srcRect/>
                    <a:stretch>
                      <a:fillRect/>
                    </a:stretch>
                  </pic:blipFill>
                  <pic:spPr>
                    <a:xfrm>
                      <a:off x="0" y="0"/>
                      <a:ext cx="2754630" cy="78105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4029"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2*</w:t>
            </w:r>
            <w:r>
              <w:rPr>
                <w:rFonts w:hint="eastAsia" w:asciiTheme="minorEastAsia" w:hAnsiTheme="minorEastAsia" w:cstheme="minorEastAsia"/>
                <w:color w:val="000000"/>
                <w:sz w:val="20"/>
                <w:szCs w:val="20"/>
                <w:lang w:val="en-US" w:eastAsia="zh-CN"/>
              </w:rPr>
              <w:t>600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4029"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2*</w:t>
            </w:r>
            <w:r>
              <w:rPr>
                <w:rFonts w:hint="eastAsia" w:asciiTheme="minorEastAsia" w:hAnsiTheme="minorEastAsia" w:cstheme="minorEastAsia"/>
                <w:color w:val="000000"/>
                <w:sz w:val="20"/>
                <w:szCs w:val="20"/>
                <w:lang w:val="en-US" w:eastAsia="zh-CN"/>
              </w:rPr>
              <w:t>1000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4029"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 35HZ-20KHZ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交流电电源开关,声道1/2单独增益控制,后面板:立体声/并接/桥接调制,灵敏度调节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483x</w:t>
            </w:r>
            <w:r>
              <w:rPr>
                <w:rFonts w:hint="eastAsia" w:asciiTheme="minorEastAsia" w:hAnsiTheme="minorEastAsia" w:cstheme="minorEastAsia"/>
                <w:color w:val="000000"/>
                <w:sz w:val="20"/>
                <w:szCs w:val="20"/>
                <w:lang w:val="en-US" w:eastAsia="zh-CN"/>
              </w:rPr>
              <w:t>405</w:t>
            </w:r>
            <w:r>
              <w:rPr>
                <w:rFonts w:hint="eastAsia" w:asciiTheme="minorEastAsia" w:hAnsiTheme="minorEastAsia" w:eastAsiaTheme="minorEastAsia" w:cstheme="minorEastAsia"/>
                <w:color w:val="000000"/>
                <w:sz w:val="20"/>
                <w:szCs w:val="20"/>
              </w:rPr>
              <w:t>x</w:t>
            </w:r>
            <w:r>
              <w:rPr>
                <w:rFonts w:hint="eastAsia" w:asciiTheme="minorEastAsia" w:hAnsiTheme="minorEastAsia" w:cstheme="minorEastAsia"/>
                <w:color w:val="000000"/>
                <w:sz w:val="20"/>
                <w:szCs w:val="20"/>
                <w:lang w:val="en-US" w:eastAsia="zh-CN"/>
              </w:rPr>
              <w:t>90</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402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19</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28440C8"/>
    <w:rsid w:val="035241C7"/>
    <w:rsid w:val="04B213C1"/>
    <w:rsid w:val="057E74F5"/>
    <w:rsid w:val="05A131E3"/>
    <w:rsid w:val="06684170"/>
    <w:rsid w:val="0A9F4195"/>
    <w:rsid w:val="0ADD081A"/>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DCB4093"/>
    <w:rsid w:val="1E7B061E"/>
    <w:rsid w:val="1F0B7BF4"/>
    <w:rsid w:val="1F14208B"/>
    <w:rsid w:val="207F7B8E"/>
    <w:rsid w:val="20D61B3B"/>
    <w:rsid w:val="21B26104"/>
    <w:rsid w:val="21F11323"/>
    <w:rsid w:val="22EA5D72"/>
    <w:rsid w:val="24561911"/>
    <w:rsid w:val="25800FD6"/>
    <w:rsid w:val="25D30D3F"/>
    <w:rsid w:val="26913D65"/>
    <w:rsid w:val="26A34BB6"/>
    <w:rsid w:val="282421A2"/>
    <w:rsid w:val="29763592"/>
    <w:rsid w:val="2A6428AE"/>
    <w:rsid w:val="2B1A3803"/>
    <w:rsid w:val="2B847C6D"/>
    <w:rsid w:val="2D1C7470"/>
    <w:rsid w:val="2D870D8D"/>
    <w:rsid w:val="2E232138"/>
    <w:rsid w:val="2E335B48"/>
    <w:rsid w:val="2FB90FA6"/>
    <w:rsid w:val="302A3C52"/>
    <w:rsid w:val="302C5C1C"/>
    <w:rsid w:val="311A1F18"/>
    <w:rsid w:val="315E1E05"/>
    <w:rsid w:val="319620CE"/>
    <w:rsid w:val="339A4C4A"/>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8E6105"/>
    <w:rsid w:val="449F6565"/>
    <w:rsid w:val="45E5269D"/>
    <w:rsid w:val="47462CC7"/>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D287238"/>
    <w:rsid w:val="5EEE3F19"/>
    <w:rsid w:val="5FB40CBE"/>
    <w:rsid w:val="60FD6695"/>
    <w:rsid w:val="612C0D28"/>
    <w:rsid w:val="61AA1D5B"/>
    <w:rsid w:val="62053A53"/>
    <w:rsid w:val="64BE25DF"/>
    <w:rsid w:val="65E352CA"/>
    <w:rsid w:val="677671A1"/>
    <w:rsid w:val="690A736D"/>
    <w:rsid w:val="69586B5E"/>
    <w:rsid w:val="6B43383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1E263C"/>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801</Words>
  <Characters>910</Characters>
  <Lines>6</Lines>
  <Paragraphs>1</Paragraphs>
  <TotalTime>1</TotalTime>
  <ScaleCrop>false</ScaleCrop>
  <LinksUpToDate>false</LinksUpToDate>
  <CharactersWithSpaces>930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E3AB3410DCAC46B5A5AF235ACE50FD25</vt:lpwstr>
  </property>
</Properties>
</file>