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eastAsia"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二通道功率放大器</w:t>
      </w:r>
    </w:p>
    <w:p>
      <w:pPr>
        <w:spacing w:before="158"/>
        <w:jc w:val="center"/>
        <w:outlineLvl w:val="9"/>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DA-HX2.8</w:t>
      </w:r>
    </w:p>
    <w:p>
      <w:pPr>
        <w:spacing w:line="360" w:lineRule="auto"/>
        <w:ind w:firstLine="4320" w:firstLineChars="1200"/>
        <w:jc w:val="left"/>
        <w:rPr>
          <w:rFonts w:hint="default" w:ascii="微软雅黑" w:hAnsi="微软雅黑" w:eastAsia="微软雅黑"/>
          <w:b w:val="0"/>
          <w:bCs/>
          <w:sz w:val="36"/>
          <w:szCs w:val="36"/>
          <w:highlight w:val="none"/>
          <w:lang w:val="en-US" w:eastAsia="zh-CN"/>
        </w:rPr>
      </w:pP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tabs>
          <w:tab w:val="left" w:pos="2985"/>
          <w:tab w:val="center" w:pos="5201"/>
        </w:tabs>
        <w:spacing w:line="260" w:lineRule="atLeast"/>
        <w:ind w:firstLine="2880" w:firstLineChars="800"/>
        <w:jc w:val="both"/>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w:t>
      </w:r>
      <w:r>
        <w:rPr>
          <w:rFonts w:hint="eastAsia" w:ascii="微软雅黑" w:hAnsi="微软雅黑" w:eastAsia="微软雅黑" w:cs="微软雅黑"/>
          <w:sz w:val="24"/>
          <w:szCs w:val="24"/>
          <w:highlight w:val="none"/>
        </w:rPr>
        <w:t>技术有限公司</w:t>
      </w:r>
      <w:r>
        <w:rPr>
          <w:rFonts w:hint="eastAsia" w:ascii="微软雅黑" w:hAnsi="微软雅黑" w:eastAsia="微软雅黑" w:cs="微软雅黑"/>
          <w:sz w:val="24"/>
          <w:szCs w:val="24"/>
          <w:highlight w:val="none"/>
          <w:lang w:val="en-US" w:eastAsia="zh-CN"/>
        </w:rPr>
        <w:t>DynePro音频系统系列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5"/>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pStyle w:val="2"/>
        <w:jc w:val="center"/>
        <w:rPr>
          <w:rFonts w:hint="eastAsia"/>
          <w:lang w:val="en-US" w:eastAsia="zh-CN"/>
        </w:rPr>
      </w:pPr>
      <w:r>
        <w:drawing>
          <wp:inline distT="0" distB="0" distL="114300" distR="114300">
            <wp:extent cx="5115560" cy="1657350"/>
            <wp:effectExtent l="0" t="0" r="889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115560" cy="1657350"/>
                    </a:xfrm>
                    <a:prstGeom prst="rect">
                      <a:avLst/>
                    </a:prstGeom>
                    <a:noFill/>
                    <a:ln>
                      <a:noFill/>
                    </a:ln>
                  </pic:spPr>
                </pic:pic>
              </a:graphicData>
            </a:graphic>
          </wp:inline>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numPr>
          <w:ilvl w:val="0"/>
          <w:numId w:val="2"/>
        </w:numPr>
        <w:ind w:left="420" w:leftChars="0" w:hanging="420" w:firstLineChars="0"/>
        <w:rPr>
          <w:rFonts w:hint="eastAsia"/>
          <w:lang w:val="en-US" w:eastAsia="zh-CN"/>
        </w:rPr>
      </w:pPr>
      <w:r>
        <w:rPr>
          <w:rFonts w:hint="eastAsia"/>
          <w:lang w:val="en-US" w:eastAsia="zh-CN"/>
        </w:rPr>
        <w:t></w:t>
      </w:r>
      <w:r>
        <w:rPr>
          <w:rFonts w:hint="eastAsia" w:ascii="微软雅黑" w:hAnsi="微软雅黑" w:eastAsia="微软雅黑" w:cs="微软雅黑"/>
          <w:color w:val="auto"/>
          <w:kern w:val="2"/>
          <w:sz w:val="24"/>
          <w:szCs w:val="24"/>
          <w:lang w:val="en-US" w:eastAsia="zh-CN" w:bidi="ar-SA"/>
        </w:rPr>
        <w:t>适用于：集成固定安装场合，包括会议室，礼堂，多功能厅，宴会厅</w:t>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eastAsia"/>
          <w:lang w:val="en-US" w:eastAsia="zh-CN"/>
        </w:rPr>
      </w:pPr>
      <w:r>
        <w:rPr>
          <w:rFonts w:hint="eastAsia" w:ascii="微软雅黑" w:hAnsi="微软雅黑" w:eastAsia="微软雅黑" w:cs="微软雅黑"/>
          <w:b/>
          <w:bCs/>
          <w:kern w:val="2"/>
          <w:sz w:val="36"/>
          <w:szCs w:val="36"/>
          <w:lang w:val="en-US" w:eastAsia="zh-CN" w:bidi="ar-SA"/>
        </w:rPr>
        <w:t>二、产品参数</w:t>
      </w:r>
    </w:p>
    <w:tbl>
      <w:tblPr>
        <w:tblStyle w:val="15"/>
        <w:tblpPr w:leftFromText="180" w:rightFromText="180" w:vertAnchor="text" w:horzAnchor="page" w:tblpXSpec="center" w:tblpY="369"/>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99"/>
        <w:gridCol w:w="49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231F20"/>
                <w:kern w:val="0"/>
                <w:sz w:val="20"/>
                <w:szCs w:val="20"/>
                <w:lang w:val="en-US" w:eastAsia="zh-CN" w:bidi="ar"/>
              </w:rPr>
              <w:t>输出 (8Ω、1kHz)</w:t>
            </w:r>
          </w:p>
        </w:tc>
        <w:tc>
          <w:tcPr>
            <w:tcW w:w="4966" w:type="dxa"/>
            <w:vAlign w:val="center"/>
          </w:tcPr>
          <w:p>
            <w:pPr>
              <w:keepNext w:val="0"/>
              <w:keepLines w:val="0"/>
              <w:widowControl/>
              <w:suppressLineNumbers w:val="0"/>
              <w:jc w:val="center"/>
              <w:rPr>
                <w:rFonts w:hint="default"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cstheme="minorEastAsia"/>
                <w:color w:val="231F20"/>
                <w:kern w:val="0"/>
                <w:sz w:val="20"/>
                <w:szCs w:val="20"/>
                <w:lang w:val="en-US" w:eastAsia="zh-CN" w:bidi="ar"/>
              </w:rPr>
              <w:t>800w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231F20"/>
                <w:kern w:val="0"/>
                <w:sz w:val="20"/>
                <w:szCs w:val="20"/>
                <w:lang w:val="en-US" w:eastAsia="zh-CN" w:bidi="ar"/>
              </w:rPr>
              <w:t>输出  (4Ω、1kHz)</w:t>
            </w:r>
          </w:p>
        </w:tc>
        <w:tc>
          <w:tcPr>
            <w:tcW w:w="4966" w:type="dxa"/>
            <w:vAlign w:val="center"/>
          </w:tcPr>
          <w:p>
            <w:pPr>
              <w:keepNext w:val="0"/>
              <w:keepLines w:val="0"/>
              <w:widowControl/>
              <w:suppressLineNumbers w:val="0"/>
              <w:jc w:val="center"/>
              <w:rPr>
                <w:rFonts w:hint="default"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cstheme="minorEastAsia"/>
                <w:color w:val="231F20"/>
                <w:kern w:val="0"/>
                <w:sz w:val="20"/>
                <w:szCs w:val="20"/>
                <w:lang w:val="en-US" w:eastAsia="zh-CN" w:bidi="ar"/>
              </w:rPr>
              <w:t>1100w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231F20"/>
                <w:kern w:val="0"/>
                <w:sz w:val="20"/>
                <w:szCs w:val="20"/>
                <w:lang w:val="en-US" w:eastAsia="zh-CN" w:bidi="ar"/>
              </w:rPr>
              <w:t>桥接 (8Ω、1kHz)</w:t>
            </w:r>
          </w:p>
        </w:tc>
        <w:tc>
          <w:tcPr>
            <w:tcW w:w="4966" w:type="dxa"/>
            <w:vAlign w:val="center"/>
          </w:tcPr>
          <w:p>
            <w:pPr>
              <w:keepNext w:val="0"/>
              <w:keepLines w:val="0"/>
              <w:widowControl/>
              <w:suppressLineNumbers w:val="0"/>
              <w:jc w:val="center"/>
              <w:rPr>
                <w:rFonts w:hint="default"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cstheme="minorEastAsia"/>
                <w:color w:val="231F20"/>
                <w:kern w:val="0"/>
                <w:sz w:val="20"/>
                <w:szCs w:val="20"/>
                <w:lang w:val="en-US" w:eastAsia="zh-CN" w:bidi="ar"/>
              </w:rPr>
              <w:t>1800w</w:t>
            </w:r>
            <w:bookmarkStart w:id="1" w:name="_GoBack"/>
            <w:bookmarkEnd w:id="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231F20"/>
                <w:kern w:val="0"/>
                <w:sz w:val="20"/>
                <w:szCs w:val="20"/>
                <w:lang w:val="en-US" w:eastAsia="zh-CN" w:bidi="ar"/>
              </w:rPr>
              <w:t>频率响应</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20Hz~20kHz ±3dB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231F20"/>
                <w:kern w:val="0"/>
                <w:sz w:val="20"/>
                <w:szCs w:val="20"/>
                <w:lang w:val="en-US" w:eastAsia="zh-CN" w:bidi="ar"/>
              </w:rPr>
              <w:t>总失真</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1%(8Ω、350W时)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231F20"/>
                <w:kern w:val="0"/>
                <w:sz w:val="20"/>
                <w:szCs w:val="20"/>
                <w:lang w:val="en-US" w:eastAsia="zh-CN" w:bidi="ar"/>
              </w:rPr>
              <w:t>输入灵敏度</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+4dB * (1.23V)</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231F20"/>
                <w:kern w:val="0"/>
                <w:sz w:val="20"/>
                <w:szCs w:val="20"/>
                <w:lang w:val="en-US" w:eastAsia="zh-CN" w:bidi="ar"/>
              </w:rPr>
              <w:t>输入阻抗</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10kΩ(电子平衡式)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231F20"/>
                <w:kern w:val="0"/>
                <w:sz w:val="20"/>
                <w:szCs w:val="20"/>
                <w:lang w:val="en-US" w:eastAsia="zh-CN" w:bidi="ar"/>
              </w:rPr>
              <w:t>信噪比</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≥80dB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231F20"/>
                <w:kern w:val="0"/>
                <w:sz w:val="20"/>
                <w:szCs w:val="20"/>
                <w:lang w:val="en-US" w:eastAsia="zh-CN" w:bidi="ar"/>
              </w:rPr>
              <w:t>连接端子</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输入(CH</w:t>
            </w:r>
            <w:r>
              <w:rPr>
                <w:rFonts w:hint="eastAsia" w:asciiTheme="minorEastAsia" w:hAnsiTheme="minorEastAsia" w:cstheme="minorEastAsia"/>
                <w:color w:val="231F20"/>
                <w:kern w:val="0"/>
                <w:sz w:val="20"/>
                <w:szCs w:val="20"/>
                <w:lang w:val="en-US" w:eastAsia="zh-CN" w:bidi="ar"/>
              </w:rPr>
              <w:t>A</w:t>
            </w:r>
            <w:r>
              <w:rPr>
                <w:rFonts w:hint="eastAsia" w:asciiTheme="minorEastAsia" w:hAnsiTheme="minorEastAsia" w:eastAsiaTheme="minorEastAsia" w:cstheme="minorEastAsia"/>
                <w:color w:val="231F20"/>
                <w:kern w:val="0"/>
                <w:sz w:val="20"/>
                <w:szCs w:val="20"/>
                <w:lang w:val="en-US" w:eastAsia="zh-CN" w:bidi="ar"/>
              </w:rPr>
              <w:t>-</w:t>
            </w:r>
            <w:r>
              <w:rPr>
                <w:rFonts w:hint="eastAsia" w:asciiTheme="minorEastAsia" w:hAnsiTheme="minorEastAsia" w:cstheme="minorEastAsia"/>
                <w:color w:val="231F20"/>
                <w:kern w:val="0"/>
                <w:sz w:val="20"/>
                <w:szCs w:val="20"/>
                <w:lang w:val="en-US" w:eastAsia="zh-CN" w:bidi="ar"/>
              </w:rPr>
              <w:t>B</w:t>
            </w:r>
            <w:r>
              <w:rPr>
                <w:rFonts w:hint="eastAsia" w:asciiTheme="minorEastAsia" w:hAnsiTheme="minorEastAsia" w:eastAsiaTheme="minorEastAsia" w:cstheme="minorEastAsia"/>
                <w:color w:val="231F20"/>
                <w:kern w:val="0"/>
                <w:sz w:val="20"/>
                <w:szCs w:val="20"/>
                <w:lang w:val="en-US" w:eastAsia="zh-CN" w:bidi="ar"/>
              </w:rPr>
              <w:t>):XLR输入连接器;输出(CH</w:t>
            </w:r>
            <w:r>
              <w:rPr>
                <w:rFonts w:hint="eastAsia" w:asciiTheme="minorEastAsia" w:hAnsiTheme="minorEastAsia" w:cstheme="minorEastAsia"/>
                <w:color w:val="231F20"/>
                <w:kern w:val="0"/>
                <w:sz w:val="20"/>
                <w:szCs w:val="20"/>
                <w:lang w:val="en-US" w:eastAsia="zh-CN" w:bidi="ar"/>
              </w:rPr>
              <w:t>A</w:t>
            </w:r>
            <w:r>
              <w:rPr>
                <w:rFonts w:hint="eastAsia" w:asciiTheme="minorEastAsia" w:hAnsiTheme="minorEastAsia" w:eastAsiaTheme="minorEastAsia" w:cstheme="minorEastAsia"/>
                <w:color w:val="231F20"/>
                <w:kern w:val="0"/>
                <w:sz w:val="20"/>
                <w:szCs w:val="20"/>
                <w:lang w:val="en-US" w:eastAsia="zh-CN" w:bidi="ar"/>
              </w:rPr>
              <w:t>-</w:t>
            </w:r>
            <w:r>
              <w:rPr>
                <w:rFonts w:hint="eastAsia" w:asciiTheme="minorEastAsia" w:hAnsiTheme="minorEastAsia" w:cstheme="minorEastAsia"/>
                <w:color w:val="231F20"/>
                <w:kern w:val="0"/>
                <w:sz w:val="20"/>
                <w:szCs w:val="20"/>
                <w:lang w:val="en-US" w:eastAsia="zh-CN" w:bidi="ar"/>
              </w:rPr>
              <w:t>B</w:t>
            </w:r>
            <w:r>
              <w:rPr>
                <w:rFonts w:hint="eastAsia" w:asciiTheme="minorEastAsia" w:hAnsiTheme="minorEastAsia" w:eastAsiaTheme="minorEastAsia" w:cstheme="minorEastAsia"/>
                <w:color w:val="231F20"/>
                <w:kern w:val="0"/>
                <w:sz w:val="20"/>
                <w:szCs w:val="20"/>
                <w:lang w:val="en-US" w:eastAsia="zh-CN" w:bidi="ar"/>
              </w:rPr>
              <w:t>):SPEAKON输出端;电源: AC电源</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Input(CH1-2):XLR Input Connector;Output(CH1-2):SPEAKON</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Output; Power: AC power supply.</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231F20"/>
                <w:kern w:val="0"/>
                <w:sz w:val="20"/>
                <w:szCs w:val="20"/>
                <w:lang w:val="en-US" w:eastAsia="zh-CN" w:bidi="ar"/>
              </w:rPr>
              <w:t>显示灯</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电源显示灯x1(绿色); 输入显示灯x 2(黄色); 峰值显示灯x 2(红色); 保护回路动作显示灯</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x 1(红色)Power Indicator x 1 (Green), Input Indicator x 2 (Yellow), Peak Indicator</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x 2(Red); Feedback Protect Indicator x 1(Red)</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电源电压</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AC220~240V、50/60Hz</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(利用内部跳线切换 )</w:t>
            </w:r>
          </w:p>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231F20"/>
                <w:kern w:val="0"/>
                <w:sz w:val="20"/>
                <w:szCs w:val="20"/>
                <w:lang w:val="en-US" w:eastAsia="zh-CN" w:bidi="ar"/>
              </w:rPr>
              <w:t>使用环境的温度范围</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231F20"/>
                <w:kern w:val="0"/>
                <w:sz w:val="20"/>
                <w:szCs w:val="20"/>
                <w:lang w:val="en-US" w:eastAsia="zh-CN" w:bidi="ar"/>
              </w:rPr>
              <w:t>使用环境的湿度范围</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90%RH以下（但不可结露）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231F20"/>
                <w:kern w:val="0"/>
                <w:sz w:val="20"/>
                <w:szCs w:val="20"/>
                <w:lang w:val="en-US" w:eastAsia="zh-CN" w:bidi="ar"/>
              </w:rPr>
              <w:t>尺寸</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483 x 45 x 3</w:t>
            </w:r>
            <w:r>
              <w:rPr>
                <w:rFonts w:hint="eastAsia" w:asciiTheme="minorEastAsia" w:hAnsiTheme="minorEastAsia" w:cstheme="minorEastAsia"/>
                <w:color w:val="231F20"/>
                <w:kern w:val="0"/>
                <w:sz w:val="20"/>
                <w:szCs w:val="20"/>
                <w:lang w:val="en-US" w:eastAsia="zh-CN" w:bidi="ar"/>
              </w:rPr>
              <w:t>4</w:t>
            </w:r>
            <w:r>
              <w:rPr>
                <w:rFonts w:hint="eastAsia" w:asciiTheme="minorEastAsia" w:hAnsiTheme="minorEastAsia" w:eastAsiaTheme="minorEastAsia" w:cstheme="minorEastAsia"/>
                <w:color w:val="231F20"/>
                <w:kern w:val="0"/>
                <w:sz w:val="20"/>
                <w:szCs w:val="20"/>
                <w:lang w:val="en-US" w:eastAsia="zh-CN" w:bidi="ar"/>
              </w:rPr>
              <w:t>5 (mm)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231F20"/>
                <w:kern w:val="0"/>
                <w:sz w:val="20"/>
                <w:szCs w:val="20"/>
                <w:lang w:val="en-US" w:eastAsia="zh-CN" w:bidi="ar"/>
              </w:rPr>
              <w:t>净重</w:t>
            </w:r>
          </w:p>
        </w:tc>
        <w:tc>
          <w:tcPr>
            <w:tcW w:w="4966" w:type="dxa"/>
            <w:vAlign w:val="center"/>
          </w:tcPr>
          <w:p>
            <w:pPr>
              <w:keepNext w:val="0"/>
              <w:keepLines w:val="0"/>
              <w:widowControl/>
              <w:suppressLineNumbers w:val="0"/>
              <w:jc w:val="center"/>
              <w:rPr>
                <w:rFonts w:hint="eastAsia" w:asciiTheme="minorEastAsia" w:hAnsiTheme="minorEastAsia" w:eastAsiaTheme="minorEastAsia" w:cstheme="minorEastAsia"/>
                <w:color w:val="231F20"/>
                <w:kern w:val="0"/>
                <w:sz w:val="20"/>
                <w:szCs w:val="20"/>
                <w:lang w:val="en-US" w:eastAsia="zh-CN" w:bidi="ar"/>
              </w:rPr>
            </w:pPr>
            <w:r>
              <w:rPr>
                <w:rFonts w:hint="eastAsia" w:asciiTheme="minorEastAsia" w:hAnsiTheme="minorEastAsia" w:eastAsiaTheme="minorEastAsia" w:cstheme="minorEastAsia"/>
                <w:color w:val="231F20"/>
                <w:kern w:val="0"/>
                <w:sz w:val="20"/>
                <w:szCs w:val="20"/>
                <w:lang w:val="en-US" w:eastAsia="zh-CN" w:bidi="ar"/>
              </w:rPr>
              <w:t>5.50kg</w:t>
            </w:r>
          </w:p>
        </w:tc>
      </w:tr>
    </w:tbl>
    <w:p>
      <w:pPr>
        <w:pStyle w:val="2"/>
        <w:rPr>
          <w:rFonts w:hint="eastAsia" w:asciiTheme="minorEastAsia" w:hAnsiTheme="minorEastAsia" w:eastAsiaTheme="minorEastAsia" w:cstheme="minorEastAsia"/>
          <w:sz w:val="20"/>
          <w:szCs w:val="20"/>
          <w:lang w:val="en-US" w:eastAsia="zh-CN"/>
        </w:rPr>
      </w:pPr>
    </w:p>
    <w:p>
      <w:pPr>
        <w:pStyle w:val="2"/>
        <w:rPr>
          <w:rFonts w:hint="eastAsia" w:asciiTheme="minorEastAsia" w:hAnsiTheme="minorEastAsia" w:eastAsiaTheme="minorEastAsia" w:cstheme="minorEastAsia"/>
          <w:sz w:val="20"/>
          <w:szCs w:val="20"/>
          <w:lang w:val="en-US" w:eastAsia="zh-CN"/>
        </w:rPr>
      </w:pPr>
    </w:p>
    <w:p>
      <w:pPr>
        <w:keepNext w:val="0"/>
        <w:keepLines w:val="0"/>
        <w:widowControl/>
        <w:suppressLineNumbers w:val="0"/>
        <w:jc w:val="center"/>
        <w:rPr>
          <w:rFonts w:hint="eastAsia" w:asciiTheme="minorEastAsia" w:hAnsiTheme="minorEastAsia" w:eastAsiaTheme="minorEastAsia" w:cstheme="minorEastAsia"/>
          <w:sz w:val="20"/>
          <w:szCs w:val="20"/>
          <w:lang w:val="en-US" w:eastAsia="zh-CN"/>
        </w:rPr>
      </w:pPr>
    </w:p>
    <w:p>
      <w:pPr>
        <w:pStyle w:val="2"/>
        <w:rPr>
          <w:rFonts w:hint="eastAsia" w:asciiTheme="minorEastAsia" w:hAnsiTheme="minorEastAsia" w:eastAsiaTheme="minorEastAsia" w:cstheme="minorEastAsia"/>
          <w:sz w:val="20"/>
          <w:szCs w:val="20"/>
          <w:lang w:val="en-US" w:eastAsia="zh-CN"/>
        </w:rPr>
      </w:pPr>
    </w:p>
    <w:p>
      <w:pPr>
        <w:pStyle w:val="2"/>
        <w:rPr>
          <w:rFonts w:hint="eastAsia" w:asciiTheme="minorEastAsia" w:hAnsiTheme="minorEastAsia" w:eastAsiaTheme="minorEastAsia" w:cstheme="minorEastAsia"/>
          <w:sz w:val="20"/>
          <w:szCs w:val="20"/>
          <w:lang w:val="en-US" w:eastAsia="zh-CN"/>
        </w:rPr>
      </w:pPr>
    </w:p>
    <w:p>
      <w:pPr>
        <w:pStyle w:val="2"/>
        <w:rPr>
          <w:rFonts w:hint="eastAsia" w:asciiTheme="minorEastAsia" w:hAnsiTheme="minorEastAsia" w:eastAsiaTheme="minorEastAsia" w:cstheme="minorEastAsia"/>
          <w:sz w:val="20"/>
          <w:szCs w:val="20"/>
          <w:lang w:val="en-US" w:eastAsia="zh-CN"/>
        </w:rPr>
      </w:pPr>
    </w:p>
    <w:p>
      <w:pPr>
        <w:pStyle w:val="2"/>
        <w:rPr>
          <w:rFonts w:hint="eastAsia" w:asciiTheme="minorEastAsia" w:hAnsiTheme="minorEastAsia" w:eastAsiaTheme="minorEastAsia" w:cstheme="minorEastAsia"/>
          <w:sz w:val="20"/>
          <w:szCs w:val="20"/>
          <w:lang w:val="en-US" w:eastAsia="zh-CN"/>
        </w:rPr>
      </w:pPr>
    </w:p>
    <w:p>
      <w:pPr>
        <w:pStyle w:val="2"/>
        <w:rPr>
          <w:rFonts w:hint="eastAsia" w:asciiTheme="minorEastAsia" w:hAnsiTheme="minorEastAsia" w:eastAsiaTheme="minorEastAsia" w:cstheme="minorEastAsia"/>
          <w:sz w:val="20"/>
          <w:szCs w:val="20"/>
        </w:rPr>
      </w:pPr>
    </w:p>
    <w:p>
      <w:pPr>
        <w:pStyle w:val="2"/>
        <w:rPr>
          <w:rFonts w:hint="eastAsia" w:asciiTheme="minorEastAsia" w:hAnsiTheme="minorEastAsia" w:eastAsiaTheme="minorEastAsia" w:cstheme="minorEastAsia"/>
          <w:sz w:val="20"/>
          <w:szCs w:val="20"/>
        </w:rPr>
      </w:pPr>
    </w:p>
    <w:p>
      <w:pPr>
        <w:pStyle w:val="2"/>
        <w:rPr>
          <w:rFonts w:hint="eastAsia" w:asciiTheme="minorEastAsia" w:hAnsiTheme="minorEastAsia" w:eastAsiaTheme="minorEastAsia" w:cstheme="minorEastAsia"/>
          <w:sz w:val="20"/>
          <w:szCs w:val="20"/>
        </w:rPr>
      </w:pPr>
    </w:p>
    <w:p>
      <w:pPr>
        <w:pStyle w:val="2"/>
        <w:rPr>
          <w:rFonts w:hint="eastAsia" w:asciiTheme="minorEastAsia" w:hAnsiTheme="minorEastAsia" w:eastAsiaTheme="minorEastAsia" w:cstheme="minorEastAsia"/>
          <w:sz w:val="20"/>
          <w:szCs w:val="20"/>
        </w:rPr>
      </w:pPr>
    </w:p>
    <w:p>
      <w:pPr>
        <w:pStyle w:val="2"/>
        <w:rPr>
          <w:rFonts w:hint="eastAsia" w:asciiTheme="minorEastAsia" w:hAnsiTheme="minorEastAsia" w:eastAsiaTheme="minorEastAsia" w:cstheme="minorEastAsia"/>
          <w:sz w:val="20"/>
          <w:szCs w:val="20"/>
          <w:lang w:val="en-US" w:eastAsia="zh-CN"/>
        </w:rPr>
      </w:pPr>
    </w:p>
    <w:sectPr>
      <w:headerReference r:id="rId3" w:type="default"/>
      <w:footerReference r:id="rId4" w:type="default"/>
      <w:pgSz w:w="11906" w:h="16838"/>
      <w:pgMar w:top="1440" w:right="991" w:bottom="1440" w:left="993" w:header="454" w:footer="90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DB7F5"/>
    <w:multiLevelType w:val="singleLevel"/>
    <w:tmpl w:val="BE4DB7F5"/>
    <w:lvl w:ilvl="0" w:tentative="0">
      <w:start w:val="1"/>
      <w:numFmt w:val="bullet"/>
      <w:lvlText w:val=""/>
      <w:lvlJc w:val="left"/>
      <w:pPr>
        <w:ind w:left="420" w:hanging="420"/>
      </w:pPr>
      <w:rPr>
        <w:rFonts w:hint="default" w:ascii="Wingdings" w:hAnsi="Wingdings"/>
      </w:rPr>
    </w:lvl>
  </w:abstractNum>
  <w:abstractNum w:abstractNumId="1">
    <w:nsid w:val="DB4462F4"/>
    <w:multiLevelType w:val="singleLevel"/>
    <w:tmpl w:val="DB4462F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D94D16"/>
    <w:rsid w:val="1C024584"/>
    <w:rsid w:val="1D61352C"/>
    <w:rsid w:val="1E7B061E"/>
    <w:rsid w:val="1F0B7BF4"/>
    <w:rsid w:val="1F14208B"/>
    <w:rsid w:val="207F7B8E"/>
    <w:rsid w:val="21F11323"/>
    <w:rsid w:val="22EA5D72"/>
    <w:rsid w:val="24561911"/>
    <w:rsid w:val="24E62CB2"/>
    <w:rsid w:val="25800FD6"/>
    <w:rsid w:val="25A0096A"/>
    <w:rsid w:val="25D30D3F"/>
    <w:rsid w:val="26913D65"/>
    <w:rsid w:val="26A34BB6"/>
    <w:rsid w:val="282421A2"/>
    <w:rsid w:val="2A6428AE"/>
    <w:rsid w:val="2B1A3803"/>
    <w:rsid w:val="2B847C6D"/>
    <w:rsid w:val="2D1C7470"/>
    <w:rsid w:val="2D870D8D"/>
    <w:rsid w:val="2E335B48"/>
    <w:rsid w:val="2FB90FA6"/>
    <w:rsid w:val="302A3C52"/>
    <w:rsid w:val="302C5C1C"/>
    <w:rsid w:val="311A1F18"/>
    <w:rsid w:val="315E1E05"/>
    <w:rsid w:val="319620CE"/>
    <w:rsid w:val="31BE6FC6"/>
    <w:rsid w:val="3546508A"/>
    <w:rsid w:val="35AA386B"/>
    <w:rsid w:val="393578EF"/>
    <w:rsid w:val="39616936"/>
    <w:rsid w:val="3A323E2F"/>
    <w:rsid w:val="3ACA6ACC"/>
    <w:rsid w:val="3C4D4F50"/>
    <w:rsid w:val="3D5F318D"/>
    <w:rsid w:val="3DFC6C2D"/>
    <w:rsid w:val="3DFE0BF8"/>
    <w:rsid w:val="3F163D1F"/>
    <w:rsid w:val="402C30CE"/>
    <w:rsid w:val="40DC4AF4"/>
    <w:rsid w:val="41CE08E1"/>
    <w:rsid w:val="445F194D"/>
    <w:rsid w:val="449F6565"/>
    <w:rsid w:val="45E5269D"/>
    <w:rsid w:val="4C1B2975"/>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EBE28C3"/>
    <w:rsid w:val="5EEE3F19"/>
    <w:rsid w:val="5FB40CBE"/>
    <w:rsid w:val="60FD6695"/>
    <w:rsid w:val="612C0D28"/>
    <w:rsid w:val="61AA1D5B"/>
    <w:rsid w:val="62053A53"/>
    <w:rsid w:val="64BE25DF"/>
    <w:rsid w:val="65E352CA"/>
    <w:rsid w:val="67175C09"/>
    <w:rsid w:val="677671A1"/>
    <w:rsid w:val="690A736D"/>
    <w:rsid w:val="69586B5E"/>
    <w:rsid w:val="6B905124"/>
    <w:rsid w:val="6C044D7B"/>
    <w:rsid w:val="6DE035C6"/>
    <w:rsid w:val="6E680AEE"/>
    <w:rsid w:val="6EAD133E"/>
    <w:rsid w:val="6F7C10CD"/>
    <w:rsid w:val="7027728A"/>
    <w:rsid w:val="718A727E"/>
    <w:rsid w:val="72872262"/>
    <w:rsid w:val="746C5BB4"/>
    <w:rsid w:val="74FC0CE6"/>
    <w:rsid w:val="759E7FEF"/>
    <w:rsid w:val="76766876"/>
    <w:rsid w:val="76E71522"/>
    <w:rsid w:val="76E93A99"/>
    <w:rsid w:val="77316C41"/>
    <w:rsid w:val="77623C50"/>
    <w:rsid w:val="77BE6DDB"/>
    <w:rsid w:val="77BF424C"/>
    <w:rsid w:val="77EC376A"/>
    <w:rsid w:val="78FC4816"/>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9"/>
    <w:pPr>
      <w:spacing w:before="340" w:after="330" w:line="578" w:lineRule="auto"/>
      <w:outlineLvl w:val="0"/>
    </w:pPr>
    <w:rPr>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页眉 字符"/>
    <w:basedOn w:val="17"/>
    <w:link w:val="12"/>
    <w:qFormat/>
    <w:uiPriority w:val="99"/>
    <w:rPr>
      <w:sz w:val="18"/>
      <w:szCs w:val="18"/>
    </w:rPr>
  </w:style>
  <w:style w:type="character" w:customStyle="1" w:styleId="20">
    <w:name w:val="页脚 字符"/>
    <w:basedOn w:val="17"/>
    <w:link w:val="11"/>
    <w:qFormat/>
    <w:uiPriority w:val="99"/>
    <w:rPr>
      <w:sz w:val="18"/>
      <w:szCs w:val="18"/>
    </w:rPr>
  </w:style>
  <w:style w:type="character" w:customStyle="1" w:styleId="21">
    <w:name w:val="批注框文本 字符"/>
    <w:basedOn w:val="17"/>
    <w:link w:val="10"/>
    <w:semiHidden/>
    <w:qFormat/>
    <w:uiPriority w:val="99"/>
    <w:rPr>
      <w:sz w:val="18"/>
      <w:szCs w:val="18"/>
    </w:rPr>
  </w:style>
  <w:style w:type="character" w:customStyle="1" w:styleId="22">
    <w:name w:val="标题 3 字符"/>
    <w:basedOn w:val="17"/>
    <w:link w:val="5"/>
    <w:qFormat/>
    <w:uiPriority w:val="9"/>
    <w:rPr>
      <w:b/>
      <w:sz w:val="32"/>
    </w:rPr>
  </w:style>
  <w:style w:type="character" w:customStyle="1" w:styleId="23">
    <w:name w:val="标题 2 字符"/>
    <w:basedOn w:val="17"/>
    <w:link w:val="4"/>
    <w:qFormat/>
    <w:uiPriority w:val="9"/>
    <w:rPr>
      <w:rFonts w:asciiTheme="majorHAnsi" w:hAnsiTheme="majorHAnsi" w:eastAsiaTheme="majorEastAsia" w:cstheme="majorBidi"/>
      <w:b/>
      <w:bCs/>
      <w:sz w:val="32"/>
      <w:szCs w:val="32"/>
    </w:rPr>
  </w:style>
  <w:style w:type="paragraph" w:customStyle="1" w:styleId="24">
    <w:name w:val="列表段落1"/>
    <w:basedOn w:val="1"/>
    <w:qFormat/>
    <w:uiPriority w:val="34"/>
    <w:pPr>
      <w:ind w:firstLine="420" w:firstLineChars="200"/>
    </w:pPr>
  </w:style>
  <w:style w:type="paragraph" w:styleId="25">
    <w:name w:val="List Paragraph"/>
    <w:basedOn w:val="1"/>
    <w:qFormat/>
    <w:uiPriority w:val="34"/>
    <w:pPr>
      <w:ind w:firstLine="420" w:firstLineChars="200"/>
    </w:pPr>
  </w:style>
  <w:style w:type="character" w:customStyle="1" w:styleId="26">
    <w:name w:val="标题 1 字符"/>
    <w:basedOn w:val="17"/>
    <w:link w:val="3"/>
    <w:qFormat/>
    <w:uiPriority w:val="9"/>
    <w:rPr>
      <w:b/>
      <w:bCs/>
      <w:kern w:val="44"/>
      <w:sz w:val="44"/>
      <w:szCs w:val="44"/>
    </w:rPr>
  </w:style>
  <w:style w:type="paragraph" w:customStyle="1" w:styleId="27">
    <w:name w:val="TOC 标题1"/>
    <w:basedOn w:val="3"/>
    <w:next w:val="1"/>
    <w:unhideWhenUsed/>
    <w:qFormat/>
    <w:uiPriority w:val="39"/>
    <w:pPr>
      <w:widowControl/>
      <w:spacing w:before="240" w:after="0" w:line="259" w:lineRule="auto"/>
      <w:jc w:val="left"/>
      <w:outlineLvl w:val="9"/>
    </w:pPr>
    <w:rPr>
      <w:color w:val="376092" w:themeColor="accent1" w:themeShade="BF"/>
      <w:kern w:val="0"/>
      <w:sz w:val="32"/>
      <w:szCs w:val="32"/>
    </w:rPr>
  </w:style>
  <w:style w:type="paragraph" w:customStyle="1" w:styleId="28">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9">
    <w:name w:val="样式1"/>
    <w:basedOn w:val="3"/>
    <w:next w:val="1"/>
    <w:qFormat/>
    <w:uiPriority w:val="0"/>
    <w:pPr>
      <w:spacing w:before="100" w:after="90"/>
    </w:pPr>
  </w:style>
  <w:style w:type="paragraph" w:customStyle="1" w:styleId="30">
    <w:name w:val="样式2"/>
    <w:basedOn w:val="3"/>
    <w:next w:val="1"/>
    <w:qFormat/>
    <w:uiPriority w:val="0"/>
    <w:pPr>
      <w:spacing w:before="120" w:after="120" w:line="360" w:lineRule="auto"/>
    </w:p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4">
    <w:name w:val="Table Paragraph"/>
    <w:basedOn w:val="1"/>
    <w:qFormat/>
    <w:uiPriority w:val="1"/>
  </w:style>
  <w:style w:type="paragraph" w:styleId="35">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6">
    <w:name w:val="网格型1"/>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784</Words>
  <Characters>884</Characters>
  <Lines>6</Lines>
  <Paragraphs>1</Paragraphs>
  <TotalTime>1</TotalTime>
  <ScaleCrop>false</ScaleCrop>
  <LinksUpToDate>false</LinksUpToDate>
  <CharactersWithSpaces>885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WPS_1669600876</cp:lastModifiedBy>
  <cp:lastPrinted>2022-11-15T03:28:00Z</cp:lastPrinted>
  <dcterms:modified xsi:type="dcterms:W3CDTF">2022-12-06T09:17:38Z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112F77D776D14C94834DB16BD3F2A426</vt:lpwstr>
  </property>
</Properties>
</file>