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二通道功率放大器</w:t>
      </w:r>
    </w:p>
    <w:p>
      <w:pPr>
        <w:spacing w:before="158"/>
        <w:jc w:val="center"/>
        <w:outlineLvl w:val="9"/>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DA-HX2.10</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tabs>
          <w:tab w:val="left" w:pos="2985"/>
          <w:tab w:val="center" w:pos="5201"/>
        </w:tabs>
        <w:spacing w:line="260" w:lineRule="atLeast"/>
        <w:ind w:firstLine="2880" w:firstLineChars="800"/>
        <w:jc w:val="both"/>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w:t>
      </w:r>
      <w:r>
        <w:rPr>
          <w:rFonts w:hint="eastAsia" w:ascii="微软雅黑" w:hAnsi="微软雅黑" w:eastAsia="微软雅黑" w:cs="微软雅黑"/>
          <w:sz w:val="24"/>
          <w:szCs w:val="24"/>
          <w:highlight w:val="none"/>
        </w:rPr>
        <w:t>技术有限公司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5"/>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pStyle w:val="2"/>
        <w:jc w:val="center"/>
        <w:rPr>
          <w:rFonts w:hint="eastAsia"/>
          <w:lang w:val="en-US" w:eastAsia="zh-CN"/>
        </w:rPr>
      </w:pPr>
      <w:r>
        <w:drawing>
          <wp:inline distT="0" distB="0" distL="114300" distR="114300">
            <wp:extent cx="5115560" cy="1657350"/>
            <wp:effectExtent l="0" t="0" r="889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115560" cy="1657350"/>
                    </a:xfrm>
                    <a:prstGeom prst="rect">
                      <a:avLst/>
                    </a:prstGeom>
                    <a:noFill/>
                    <a:ln>
                      <a:noFill/>
                    </a:ln>
                  </pic:spPr>
                </pic:pic>
              </a:graphicData>
            </a:graphic>
          </wp:inline>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numPr>
          <w:ilvl w:val="0"/>
          <w:numId w:val="2"/>
        </w:numPr>
        <w:ind w:left="420" w:leftChars="0" w:hanging="420" w:firstLineChars="0"/>
        <w:rPr>
          <w:rFonts w:hint="eastAsia"/>
          <w:lang w:val="en-US" w:eastAsia="zh-CN"/>
        </w:rPr>
      </w:pPr>
      <w:r>
        <w:rPr>
          <w:rFonts w:hint="eastAsia"/>
          <w:lang w:val="en-US" w:eastAsia="zh-CN"/>
        </w:rPr>
        <w:t></w:t>
      </w:r>
      <w:r>
        <w:rPr>
          <w:rFonts w:hint="eastAsia" w:ascii="微软雅黑" w:hAnsi="微软雅黑" w:eastAsia="微软雅黑" w:cs="微软雅黑"/>
          <w:color w:val="auto"/>
          <w:kern w:val="2"/>
          <w:sz w:val="24"/>
          <w:szCs w:val="24"/>
          <w:lang w:val="en-US" w:eastAsia="zh-CN" w:bidi="ar-SA"/>
        </w:rPr>
        <w:t>适用于：集成固定安装场合，包括会议室，礼堂，多功能厅，宴会厅</w:t>
      </w: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二、产品参数</w:t>
      </w:r>
    </w:p>
    <w:tbl>
      <w:tblPr>
        <w:tblStyle w:val="15"/>
        <w:tblpPr w:leftFromText="180" w:rightFromText="180" w:vertAnchor="text" w:horzAnchor="page" w:tblpXSpec="center" w:tblpY="369"/>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99"/>
        <w:gridCol w:w="49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输出 (8Ω、1kHz)</w:t>
            </w:r>
          </w:p>
        </w:tc>
        <w:tc>
          <w:tcPr>
            <w:tcW w:w="4966" w:type="dxa"/>
            <w:vAlign w:val="center"/>
          </w:tcPr>
          <w:p>
            <w:pPr>
              <w:keepNext w:val="0"/>
              <w:keepLines w:val="0"/>
              <w:widowControl/>
              <w:suppressLineNumbers w:val="0"/>
              <w:jc w:val="center"/>
              <w:rPr>
                <w:rFonts w:hint="default"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cstheme="minorEastAsia"/>
                <w:color w:val="231F20"/>
                <w:kern w:val="0"/>
                <w:sz w:val="20"/>
                <w:szCs w:val="20"/>
                <w:lang w:val="en-US" w:eastAsia="zh-CN" w:bidi="ar"/>
              </w:rPr>
              <w:t>1000w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231F20"/>
                <w:kern w:val="0"/>
                <w:sz w:val="20"/>
                <w:szCs w:val="20"/>
                <w:lang w:val="en-US" w:eastAsia="zh-CN" w:bidi="ar"/>
              </w:rPr>
              <w:t>输出  (4Ω、1kHz)</w:t>
            </w:r>
          </w:p>
        </w:tc>
        <w:tc>
          <w:tcPr>
            <w:tcW w:w="4966" w:type="dxa"/>
            <w:vAlign w:val="center"/>
          </w:tcPr>
          <w:p>
            <w:pPr>
              <w:keepNext w:val="0"/>
              <w:keepLines w:val="0"/>
              <w:widowControl/>
              <w:suppressLineNumbers w:val="0"/>
              <w:jc w:val="center"/>
              <w:rPr>
                <w:rFonts w:hint="default"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cstheme="minorEastAsia"/>
                <w:color w:val="231F20"/>
                <w:kern w:val="0"/>
                <w:sz w:val="20"/>
                <w:szCs w:val="20"/>
                <w:lang w:val="en-US" w:eastAsia="zh-CN" w:bidi="ar"/>
              </w:rPr>
              <w:t>1400w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231F20"/>
                <w:kern w:val="0"/>
                <w:sz w:val="20"/>
                <w:szCs w:val="20"/>
                <w:lang w:val="en-US" w:eastAsia="zh-CN" w:bidi="ar"/>
              </w:rPr>
              <w:t>桥接 (8Ω、1kHz)</w:t>
            </w:r>
          </w:p>
        </w:tc>
        <w:tc>
          <w:tcPr>
            <w:tcW w:w="4966" w:type="dxa"/>
            <w:vAlign w:val="center"/>
          </w:tcPr>
          <w:p>
            <w:pPr>
              <w:keepNext w:val="0"/>
              <w:keepLines w:val="0"/>
              <w:widowControl/>
              <w:suppressLineNumbers w:val="0"/>
              <w:jc w:val="center"/>
              <w:rPr>
                <w:rFonts w:hint="default"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cstheme="minorEastAsia"/>
                <w:color w:val="231F20"/>
                <w:kern w:val="0"/>
                <w:sz w:val="20"/>
                <w:szCs w:val="20"/>
                <w:lang w:val="en-US" w:eastAsia="zh-CN" w:bidi="ar"/>
              </w:rPr>
              <w:t>2200w</w:t>
            </w:r>
            <w:bookmarkStart w:id="1" w:name="_GoBack"/>
            <w:bookmarkEnd w:id="1"/>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频率响应</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20Hz~20kHz ±3dB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231F20"/>
                <w:kern w:val="0"/>
                <w:sz w:val="20"/>
                <w:szCs w:val="20"/>
                <w:lang w:val="en-US" w:eastAsia="zh-CN" w:bidi="ar"/>
              </w:rPr>
              <w:t>总失真</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1%(8Ω、350W时)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7"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输入灵敏度</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+4dB * (1.23V)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输入阻抗</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10kΩ(电子平衡式)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231F20"/>
                <w:kern w:val="0"/>
                <w:sz w:val="20"/>
                <w:szCs w:val="20"/>
                <w:lang w:val="en-US" w:eastAsia="zh-CN" w:bidi="ar"/>
              </w:rPr>
              <w:t>信噪比</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≥80dB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连接端子</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输入(CH</w:t>
            </w:r>
            <w:r>
              <w:rPr>
                <w:rFonts w:hint="eastAsia" w:asciiTheme="minorEastAsia" w:hAnsiTheme="minorEastAsia" w:cstheme="minorEastAsia"/>
                <w:color w:val="231F20"/>
                <w:kern w:val="0"/>
                <w:sz w:val="20"/>
                <w:szCs w:val="20"/>
                <w:lang w:val="en-US" w:eastAsia="zh-CN" w:bidi="ar"/>
              </w:rPr>
              <w:t>A</w:t>
            </w:r>
            <w:r>
              <w:rPr>
                <w:rFonts w:hint="eastAsia" w:asciiTheme="minorEastAsia" w:hAnsiTheme="minorEastAsia" w:eastAsiaTheme="minorEastAsia" w:cstheme="minorEastAsia"/>
                <w:color w:val="231F20"/>
                <w:kern w:val="0"/>
                <w:sz w:val="20"/>
                <w:szCs w:val="20"/>
                <w:lang w:val="en-US" w:eastAsia="zh-CN" w:bidi="ar"/>
              </w:rPr>
              <w:t>-</w:t>
            </w:r>
            <w:r>
              <w:rPr>
                <w:rFonts w:hint="eastAsia" w:asciiTheme="minorEastAsia" w:hAnsiTheme="minorEastAsia" w:cstheme="minorEastAsia"/>
                <w:color w:val="231F20"/>
                <w:kern w:val="0"/>
                <w:sz w:val="20"/>
                <w:szCs w:val="20"/>
                <w:lang w:val="en-US" w:eastAsia="zh-CN" w:bidi="ar"/>
              </w:rPr>
              <w:t>B</w:t>
            </w:r>
            <w:r>
              <w:rPr>
                <w:rFonts w:hint="eastAsia" w:asciiTheme="minorEastAsia" w:hAnsiTheme="minorEastAsia" w:eastAsiaTheme="minorEastAsia" w:cstheme="minorEastAsia"/>
                <w:color w:val="231F20"/>
                <w:kern w:val="0"/>
                <w:sz w:val="20"/>
                <w:szCs w:val="20"/>
                <w:lang w:val="en-US" w:eastAsia="zh-CN" w:bidi="ar"/>
              </w:rPr>
              <w:t>):XLR输入连接器;输出(CH</w:t>
            </w:r>
            <w:r>
              <w:rPr>
                <w:rFonts w:hint="eastAsia" w:asciiTheme="minorEastAsia" w:hAnsiTheme="minorEastAsia" w:cstheme="minorEastAsia"/>
                <w:color w:val="231F20"/>
                <w:kern w:val="0"/>
                <w:sz w:val="20"/>
                <w:szCs w:val="20"/>
                <w:lang w:val="en-US" w:eastAsia="zh-CN" w:bidi="ar"/>
              </w:rPr>
              <w:t>A-B</w:t>
            </w:r>
            <w:r>
              <w:rPr>
                <w:rFonts w:hint="eastAsia" w:asciiTheme="minorEastAsia" w:hAnsiTheme="minorEastAsia" w:eastAsiaTheme="minorEastAsia" w:cstheme="minorEastAsia"/>
                <w:color w:val="231F20"/>
                <w:kern w:val="0"/>
                <w:sz w:val="20"/>
                <w:szCs w:val="20"/>
                <w:lang w:val="en-US" w:eastAsia="zh-CN" w:bidi="ar"/>
              </w:rPr>
              <w:t>):SPEAKON输出端;电源: AC电源</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Input(CH1-2):XLR Input Connector;Output(CH1-2):SPEAKON</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Output; Power: AC power supply.</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显示灯</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电源显示灯x1(绿色); 输入显示灯x 2(黄色); 峰值显示灯x 2(红色); 保护回路动作显示灯</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x 1(红色)Power Indicator x 1 (Green), Input Indicator x 2 (Yellow), Peak Indicator</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x 2(Red); Feedback Protect Indicator x 1(Red)</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电源电压</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AC220~240V、50/60Hz</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(利用内部跳线切换 )</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使用环境的温度范围</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使用环境的湿度范围</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90%RH以下（但不可结露）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尺寸</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483 x 45 x 3</w:t>
            </w:r>
            <w:r>
              <w:rPr>
                <w:rFonts w:hint="eastAsia" w:asciiTheme="minorEastAsia" w:hAnsiTheme="minorEastAsia" w:cstheme="minorEastAsia"/>
                <w:color w:val="231F20"/>
                <w:kern w:val="0"/>
                <w:sz w:val="20"/>
                <w:szCs w:val="20"/>
                <w:lang w:val="en-US" w:eastAsia="zh-CN" w:bidi="ar"/>
              </w:rPr>
              <w:t>4</w:t>
            </w:r>
            <w:r>
              <w:rPr>
                <w:rFonts w:hint="eastAsia" w:asciiTheme="minorEastAsia" w:hAnsiTheme="minorEastAsia" w:eastAsiaTheme="minorEastAsia" w:cstheme="minorEastAsia"/>
                <w:color w:val="231F20"/>
                <w:kern w:val="0"/>
                <w:sz w:val="20"/>
                <w:szCs w:val="20"/>
                <w:lang w:val="en-US" w:eastAsia="zh-CN" w:bidi="ar"/>
              </w:rPr>
              <w:t>5 (mm)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净重</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5.50kg</w:t>
            </w:r>
          </w:p>
        </w:tc>
      </w:tr>
    </w:tbl>
    <w:p>
      <w:pPr>
        <w:pStyle w:val="2"/>
        <w:rPr>
          <w:rFonts w:hint="eastAsia" w:asciiTheme="minorEastAsia" w:hAnsiTheme="minorEastAsia" w:eastAsiaTheme="minorEastAsia" w:cstheme="minorEastAsia"/>
          <w:sz w:val="20"/>
          <w:szCs w:val="20"/>
          <w:lang w:val="en-US" w:eastAsia="zh-CN"/>
        </w:rPr>
      </w:pPr>
    </w:p>
    <w:p>
      <w:pPr>
        <w:pStyle w:val="2"/>
        <w:rPr>
          <w:rFonts w:hint="eastAsia" w:asciiTheme="minorEastAsia" w:hAnsiTheme="minorEastAsia" w:eastAsiaTheme="minorEastAsia" w:cstheme="minorEastAsia"/>
          <w:sz w:val="20"/>
          <w:szCs w:val="20"/>
          <w:lang w:val="en-US" w:eastAsia="zh-CN"/>
        </w:rPr>
      </w:pPr>
    </w:p>
    <w:p>
      <w:pPr>
        <w:keepNext w:val="0"/>
        <w:keepLines w:val="0"/>
        <w:widowControl/>
        <w:suppressLineNumbers w:val="0"/>
        <w:jc w:val="center"/>
        <w:rPr>
          <w:rFonts w:hint="eastAsia" w:asciiTheme="minorEastAsia" w:hAnsiTheme="minorEastAsia" w:eastAsiaTheme="minorEastAsia" w:cstheme="minorEastAsia"/>
          <w:sz w:val="20"/>
          <w:szCs w:val="20"/>
          <w:lang w:val="en-US" w:eastAsia="zh-CN"/>
        </w:rPr>
      </w:pPr>
    </w:p>
    <w:p>
      <w:pPr>
        <w:pStyle w:val="2"/>
        <w:rPr>
          <w:rFonts w:hint="eastAsia" w:asciiTheme="minorEastAsia" w:hAnsiTheme="minorEastAsia" w:eastAsiaTheme="minorEastAsia" w:cstheme="minorEastAsia"/>
          <w:sz w:val="20"/>
          <w:szCs w:val="20"/>
          <w:lang w:val="en-US" w:eastAsia="zh-CN"/>
        </w:rPr>
      </w:pPr>
    </w:p>
    <w:p>
      <w:pPr>
        <w:pStyle w:val="2"/>
        <w:rPr>
          <w:rFonts w:hint="eastAsia" w:asciiTheme="minorEastAsia" w:hAnsiTheme="minorEastAsia" w:eastAsiaTheme="minorEastAsia" w:cstheme="minorEastAsia"/>
          <w:sz w:val="20"/>
          <w:szCs w:val="20"/>
          <w:lang w:val="en-US" w:eastAsia="zh-CN"/>
        </w:rPr>
      </w:pPr>
    </w:p>
    <w:p>
      <w:pPr>
        <w:pStyle w:val="2"/>
        <w:rPr>
          <w:rFonts w:hint="eastAsia" w:asciiTheme="minorEastAsia" w:hAnsiTheme="minorEastAsia" w:eastAsiaTheme="minorEastAsia" w:cstheme="minorEastAsia"/>
          <w:sz w:val="20"/>
          <w:szCs w:val="20"/>
          <w:lang w:val="en-US" w:eastAsia="zh-CN"/>
        </w:rPr>
      </w:pPr>
    </w:p>
    <w:p>
      <w:pPr>
        <w:pStyle w:val="2"/>
        <w:rPr>
          <w:rFonts w:hint="eastAsia" w:asciiTheme="minorEastAsia" w:hAnsiTheme="minorEastAsia" w:eastAsiaTheme="minorEastAsia" w:cstheme="minorEastAsia"/>
          <w:sz w:val="20"/>
          <w:szCs w:val="20"/>
          <w:lang w:val="en-US" w:eastAsia="zh-CN"/>
        </w:rPr>
      </w:pPr>
    </w:p>
    <w:p>
      <w:pPr>
        <w:pStyle w:val="2"/>
        <w:rPr>
          <w:rFonts w:hint="eastAsia" w:asciiTheme="minorEastAsia" w:hAnsiTheme="minorEastAsia" w:eastAsiaTheme="minorEastAsia" w:cstheme="minorEastAsia"/>
          <w:sz w:val="20"/>
          <w:szCs w:val="20"/>
        </w:rPr>
      </w:pPr>
    </w:p>
    <w:p>
      <w:pPr>
        <w:pStyle w:val="2"/>
        <w:rPr>
          <w:rFonts w:hint="eastAsia" w:asciiTheme="minorEastAsia" w:hAnsiTheme="minorEastAsia" w:eastAsiaTheme="minorEastAsia" w:cstheme="minorEastAsia"/>
          <w:sz w:val="20"/>
          <w:szCs w:val="20"/>
        </w:rPr>
      </w:pPr>
    </w:p>
    <w:p>
      <w:pPr>
        <w:pStyle w:val="2"/>
        <w:rPr>
          <w:rFonts w:hint="eastAsia" w:asciiTheme="minorEastAsia" w:hAnsiTheme="minorEastAsia" w:eastAsiaTheme="minorEastAsia" w:cstheme="minorEastAsia"/>
          <w:sz w:val="20"/>
          <w:szCs w:val="20"/>
        </w:rPr>
      </w:pPr>
    </w:p>
    <w:p>
      <w:pPr>
        <w:pStyle w:val="2"/>
        <w:rPr>
          <w:rFonts w:hint="eastAsia" w:asciiTheme="minorEastAsia" w:hAnsiTheme="minorEastAsia" w:eastAsiaTheme="minorEastAsia" w:cstheme="minorEastAsia"/>
          <w:sz w:val="20"/>
          <w:szCs w:val="20"/>
        </w:rPr>
      </w:pPr>
    </w:p>
    <w:p>
      <w:pPr>
        <w:pStyle w:val="2"/>
        <w:rPr>
          <w:rFonts w:hint="eastAsia" w:asciiTheme="minorEastAsia" w:hAnsiTheme="minorEastAsia" w:eastAsiaTheme="minorEastAsia" w:cstheme="minorEastAsia"/>
          <w:sz w:val="20"/>
          <w:szCs w:val="20"/>
          <w:lang w:val="en-US" w:eastAsia="zh-CN"/>
        </w:rPr>
      </w:pPr>
    </w:p>
    <w:sectPr>
      <w:headerReference r:id="rId3" w:type="default"/>
      <w:footerReference r:id="rId4" w:type="default"/>
      <w:pgSz w:w="11906" w:h="16838"/>
      <w:pgMar w:top="1440" w:right="991" w:bottom="1440" w:left="993" w:header="454" w:footer="90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4DB7F5"/>
    <w:multiLevelType w:val="singleLevel"/>
    <w:tmpl w:val="BE4DB7F5"/>
    <w:lvl w:ilvl="0" w:tentative="0">
      <w:start w:val="1"/>
      <w:numFmt w:val="bullet"/>
      <w:lvlText w:val=""/>
      <w:lvlJc w:val="left"/>
      <w:pPr>
        <w:ind w:left="420" w:hanging="420"/>
      </w:pPr>
      <w:rPr>
        <w:rFonts w:hint="default" w:ascii="Wingdings" w:hAnsi="Wingdings"/>
      </w:rPr>
    </w:lvl>
  </w:abstractNum>
  <w:abstractNum w:abstractNumId="1">
    <w:nsid w:val="DB4462F4"/>
    <w:multiLevelType w:val="singleLevel"/>
    <w:tmpl w:val="DB4462F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4E62CB2"/>
    <w:rsid w:val="25800FD6"/>
    <w:rsid w:val="25A0096A"/>
    <w:rsid w:val="25D30D3F"/>
    <w:rsid w:val="26913D65"/>
    <w:rsid w:val="26A34BB6"/>
    <w:rsid w:val="282421A2"/>
    <w:rsid w:val="2A6428AE"/>
    <w:rsid w:val="2B1A3803"/>
    <w:rsid w:val="2B847C6D"/>
    <w:rsid w:val="2D1C7470"/>
    <w:rsid w:val="2D870D8D"/>
    <w:rsid w:val="2E335B48"/>
    <w:rsid w:val="2FB90FA6"/>
    <w:rsid w:val="302A3C52"/>
    <w:rsid w:val="302C5C1C"/>
    <w:rsid w:val="311A1F18"/>
    <w:rsid w:val="315E1E05"/>
    <w:rsid w:val="319620CE"/>
    <w:rsid w:val="31BE6FC6"/>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BE28C3"/>
    <w:rsid w:val="5EEE3F19"/>
    <w:rsid w:val="5FB40CBE"/>
    <w:rsid w:val="60FD6695"/>
    <w:rsid w:val="612C0D28"/>
    <w:rsid w:val="61AA1D5B"/>
    <w:rsid w:val="62053A53"/>
    <w:rsid w:val="64BE25DF"/>
    <w:rsid w:val="653D600B"/>
    <w:rsid w:val="65E352CA"/>
    <w:rsid w:val="677671A1"/>
    <w:rsid w:val="690A736D"/>
    <w:rsid w:val="69586B5E"/>
    <w:rsid w:val="6B905124"/>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623C50"/>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spacing w:before="340" w:after="330" w:line="578" w:lineRule="auto"/>
      <w:outlineLvl w:val="0"/>
    </w:pPr>
    <w:rPr>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1"/>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页眉 字符"/>
    <w:basedOn w:val="17"/>
    <w:link w:val="12"/>
    <w:qFormat/>
    <w:uiPriority w:val="99"/>
    <w:rPr>
      <w:sz w:val="18"/>
      <w:szCs w:val="18"/>
    </w:rPr>
  </w:style>
  <w:style w:type="character" w:customStyle="1" w:styleId="20">
    <w:name w:val="页脚 字符"/>
    <w:basedOn w:val="17"/>
    <w:link w:val="11"/>
    <w:qFormat/>
    <w:uiPriority w:val="99"/>
    <w:rPr>
      <w:sz w:val="18"/>
      <w:szCs w:val="18"/>
    </w:rPr>
  </w:style>
  <w:style w:type="character" w:customStyle="1" w:styleId="21">
    <w:name w:val="批注框文本 字符"/>
    <w:basedOn w:val="17"/>
    <w:link w:val="10"/>
    <w:semiHidden/>
    <w:qFormat/>
    <w:uiPriority w:val="99"/>
    <w:rPr>
      <w:sz w:val="18"/>
      <w:szCs w:val="18"/>
    </w:rPr>
  </w:style>
  <w:style w:type="character" w:customStyle="1" w:styleId="22">
    <w:name w:val="标题 3 字符"/>
    <w:basedOn w:val="17"/>
    <w:link w:val="5"/>
    <w:qFormat/>
    <w:uiPriority w:val="9"/>
    <w:rPr>
      <w:b/>
      <w:sz w:val="32"/>
    </w:rPr>
  </w:style>
  <w:style w:type="character" w:customStyle="1" w:styleId="23">
    <w:name w:val="标题 2 字符"/>
    <w:basedOn w:val="17"/>
    <w:link w:val="4"/>
    <w:qFormat/>
    <w:uiPriority w:val="9"/>
    <w:rPr>
      <w:rFonts w:asciiTheme="majorHAnsi" w:hAnsiTheme="majorHAnsi" w:eastAsiaTheme="majorEastAsia" w:cstheme="majorBidi"/>
      <w:b/>
      <w:bCs/>
      <w:sz w:val="32"/>
      <w:szCs w:val="32"/>
    </w:rPr>
  </w:style>
  <w:style w:type="paragraph" w:customStyle="1" w:styleId="24">
    <w:name w:val="列表段落1"/>
    <w:basedOn w:val="1"/>
    <w:qFormat/>
    <w:uiPriority w:val="34"/>
    <w:pPr>
      <w:ind w:firstLine="420" w:firstLineChars="200"/>
    </w:pPr>
  </w:style>
  <w:style w:type="paragraph" w:styleId="25">
    <w:name w:val="List Paragraph"/>
    <w:basedOn w:val="1"/>
    <w:qFormat/>
    <w:uiPriority w:val="34"/>
    <w:pPr>
      <w:ind w:firstLine="420" w:firstLineChars="200"/>
    </w:pPr>
  </w:style>
  <w:style w:type="character" w:customStyle="1" w:styleId="26">
    <w:name w:val="标题 1 字符"/>
    <w:basedOn w:val="17"/>
    <w:link w:val="3"/>
    <w:qFormat/>
    <w:uiPriority w:val="9"/>
    <w:rPr>
      <w:b/>
      <w:bCs/>
      <w:kern w:val="44"/>
      <w:sz w:val="44"/>
      <w:szCs w:val="44"/>
    </w:rPr>
  </w:style>
  <w:style w:type="paragraph" w:customStyle="1" w:styleId="27">
    <w:name w:val="TOC 标题1"/>
    <w:basedOn w:val="3"/>
    <w:next w:val="1"/>
    <w:unhideWhenUsed/>
    <w:qFormat/>
    <w:uiPriority w:val="39"/>
    <w:pPr>
      <w:widowControl/>
      <w:spacing w:before="240" w:after="0" w:line="259" w:lineRule="auto"/>
      <w:jc w:val="left"/>
      <w:outlineLvl w:val="9"/>
    </w:pPr>
    <w:rPr>
      <w:color w:val="376092" w:themeColor="accent1" w:themeShade="BF"/>
      <w:kern w:val="0"/>
      <w:sz w:val="32"/>
      <w:szCs w:val="32"/>
    </w:rPr>
  </w:style>
  <w:style w:type="paragraph" w:customStyle="1" w:styleId="28">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9">
    <w:name w:val="样式1"/>
    <w:basedOn w:val="3"/>
    <w:next w:val="1"/>
    <w:qFormat/>
    <w:uiPriority w:val="0"/>
    <w:pPr>
      <w:spacing w:before="100" w:after="90"/>
    </w:pPr>
  </w:style>
  <w:style w:type="paragraph" w:customStyle="1" w:styleId="30">
    <w:name w:val="样式2"/>
    <w:basedOn w:val="3"/>
    <w:next w:val="1"/>
    <w:qFormat/>
    <w:uiPriority w:val="0"/>
    <w:pPr>
      <w:spacing w:before="120" w:after="120" w:line="360" w:lineRule="auto"/>
    </w:p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3">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4">
    <w:name w:val="Table Paragraph"/>
    <w:basedOn w:val="1"/>
    <w:qFormat/>
    <w:uiPriority w:val="1"/>
  </w:style>
  <w:style w:type="paragraph" w:styleId="35">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6">
    <w:name w:val="网格型1"/>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784</Words>
  <Characters>884</Characters>
  <Lines>6</Lines>
  <Paragraphs>1</Paragraphs>
  <TotalTime>1</TotalTime>
  <ScaleCrop>false</ScaleCrop>
  <LinksUpToDate>false</LinksUpToDate>
  <CharactersWithSpaces>885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2022-12-06T09:19:24Z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112F77D776D14C94834DB16BD3F2A426</vt:lpwstr>
  </property>
</Properties>
</file>