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spacing w:line="360" w:lineRule="auto"/>
        <w:ind w:firstLine="2601" w:firstLineChars="500"/>
        <w:jc w:val="left"/>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PoE音频交换中心</w:t>
      </w:r>
    </w:p>
    <w:p>
      <w:pPr>
        <w:spacing w:before="184"/>
        <w:ind w:left="0" w:right="15" w:firstLine="0"/>
        <w:jc w:val="center"/>
        <w:rPr>
          <w:rFonts w:hint="eastAsia"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DA-PSW8bt</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tabs>
          <w:tab w:val="left" w:pos="2985"/>
          <w:tab w:val="center" w:pos="5201"/>
        </w:tabs>
        <w:spacing w:line="260" w:lineRule="atLeast"/>
        <w:ind w:firstLine="2520" w:firstLineChars="700"/>
        <w:jc w:val="both"/>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DynePro音频系统</w:t>
      </w:r>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bookmarkStart w:id="1" w:name="_GoBack"/>
      <w:r>
        <w:rPr>
          <w:rFonts w:hint="eastAsia" w:ascii="微软雅黑" w:hAnsi="微软雅黑" w:eastAsia="微软雅黑" w:cs="微软雅黑"/>
          <w:b/>
          <w:bCs/>
          <w:kern w:val="2"/>
          <w:sz w:val="36"/>
          <w:szCs w:val="36"/>
          <w:lang w:val="en-US" w:eastAsia="zh-CN" w:bidi="ar-SA"/>
        </w:rPr>
        <w:t>产品外观及说明</w:t>
      </w:r>
    </w:p>
    <w:bookmarkEnd w:id="1"/>
    <w:p>
      <w:pPr>
        <w:widowControl w:val="0"/>
        <w:numPr>
          <w:ilvl w:val="0"/>
          <w:numId w:val="0"/>
        </w:numPr>
        <w:jc w:val="both"/>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r>
        <w:rPr>
          <w:rFonts w:hint="eastAsia" w:asciiTheme="majorEastAsia" w:hAnsiTheme="majorEastAsia" w:eastAsiaTheme="majorEastAsia" w:cstheme="majorEastAsia"/>
        </w:rPr>
        <w:drawing>
          <wp:anchor distT="0" distB="0" distL="0" distR="0" simplePos="0" relativeHeight="251659264" behindDoc="0" locked="0" layoutInCell="1" allowOverlap="1">
            <wp:simplePos x="0" y="0"/>
            <wp:positionH relativeFrom="page">
              <wp:posOffset>2374265</wp:posOffset>
            </wp:positionH>
            <wp:positionV relativeFrom="paragraph">
              <wp:posOffset>136525</wp:posOffset>
            </wp:positionV>
            <wp:extent cx="2930525" cy="648970"/>
            <wp:effectExtent l="0" t="0" r="3175" b="8255"/>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6" cstate="print"/>
                    <a:stretch>
                      <a:fillRect/>
                    </a:stretch>
                  </pic:blipFill>
                  <pic:spPr>
                    <a:xfrm>
                      <a:off x="0" y="0"/>
                      <a:ext cx="2930525" cy="648970"/>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8"/>
        <w:gridCol w:w="6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restart"/>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端口特征</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8个10/100/1000Base-T POE口（Data/Power）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vAlign w:val="center"/>
          </w:tcPr>
          <w:p>
            <w:pPr>
              <w:pStyle w:val="2"/>
              <w:jc w:val="center"/>
              <w:rPr>
                <w:rFonts w:hint="eastAsia" w:asciiTheme="minorEastAsia" w:hAnsiTheme="minorEastAsia" w:eastAsiaTheme="minorEastAsia" w:cstheme="minorEastAsia"/>
                <w:sz w:val="22"/>
                <w:szCs w:val="22"/>
                <w:vertAlign w:val="baseline"/>
                <w:lang w:val="en-US" w:eastAsia="zh-CN"/>
              </w:rPr>
            </w:pP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1个10/100/1000Base-T 上联RJ45端口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vAlign w:val="center"/>
          </w:tcPr>
          <w:p>
            <w:pPr>
              <w:pStyle w:val="2"/>
              <w:jc w:val="center"/>
              <w:rPr>
                <w:rFonts w:hint="eastAsia" w:asciiTheme="minorEastAsia" w:hAnsiTheme="minorEastAsia" w:eastAsiaTheme="minorEastAsia" w:cstheme="minorEastAsia"/>
                <w:sz w:val="22"/>
                <w:szCs w:val="22"/>
                <w:vertAlign w:val="baseline"/>
                <w:lang w:val="en-US" w:eastAsia="zh-CN"/>
              </w:rPr>
            </w:pPr>
          </w:p>
        </w:tc>
        <w:tc>
          <w:tcPr>
            <w:tcW w:w="6193" w:type="dxa"/>
            <w:vAlign w:val="center"/>
          </w:tcPr>
          <w:p>
            <w:pPr>
              <w:pStyle w:val="2"/>
              <w:ind w:firstLine="880" w:firstLineChars="400"/>
              <w:jc w:val="both"/>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1个1000Base-X SFP光口插槽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网口特性</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1-8口10/100/1000Base-T（X）自动侦测，全/半双工MDI/MDI-X自适应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背板带宽</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20Gbps （无阻塞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包转发率@64byte</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14.88Mpps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MAC地址表</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restart"/>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LED指示灯</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电源指示灯：PWR(绿色)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vAlign w:val="center"/>
          </w:tcPr>
          <w:p>
            <w:pPr>
              <w:pStyle w:val="2"/>
              <w:jc w:val="center"/>
              <w:rPr>
                <w:rFonts w:hint="eastAsia" w:asciiTheme="minorEastAsia" w:hAnsiTheme="minorEastAsia" w:eastAsiaTheme="minorEastAsia" w:cstheme="minorEastAsia"/>
                <w:sz w:val="22"/>
                <w:szCs w:val="22"/>
                <w:lang w:val="en-US" w:eastAsia="zh-CN"/>
              </w:rPr>
            </w:pP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数据指示灯：Link（黄色）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vAlign w:val="center"/>
          </w:tcPr>
          <w:p>
            <w:pPr>
              <w:pStyle w:val="2"/>
              <w:jc w:val="center"/>
              <w:rPr>
                <w:rFonts w:hint="eastAsia" w:asciiTheme="minorEastAsia" w:hAnsiTheme="minorEastAsia" w:eastAsiaTheme="minorEastAsia" w:cstheme="minorEastAsia"/>
                <w:sz w:val="22"/>
                <w:szCs w:val="22"/>
                <w:lang w:val="en-US" w:eastAsia="zh-CN"/>
              </w:rPr>
            </w:pP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POE指示灯：PoE（绿色）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Merge w:val="continue"/>
            <w:vAlign w:val="center"/>
          </w:tcPr>
          <w:p>
            <w:pPr>
              <w:pStyle w:val="2"/>
              <w:jc w:val="center"/>
              <w:rPr>
                <w:rFonts w:hint="eastAsia" w:asciiTheme="minorEastAsia" w:hAnsiTheme="minorEastAsia" w:eastAsiaTheme="minorEastAsia" w:cstheme="minorEastAsia"/>
                <w:sz w:val="22"/>
                <w:szCs w:val="22"/>
                <w:lang w:val="en-US" w:eastAsia="zh-CN"/>
              </w:rPr>
            </w:pP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上联口速率指示灯：SPEED（绿色）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PoE端口</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1-8端口支持IEEE802.3bt, 并向下兼容IEEE802.3af/at标准POE供电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供电引脚</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默认支持1/2,4/5(+)&amp;3/6,7/8(-) 8芯供电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最高单口PoE功率</w:t>
            </w:r>
          </w:p>
        </w:tc>
        <w:tc>
          <w:tcPr>
            <w:tcW w:w="6193" w:type="dxa"/>
            <w:vAlign w:val="center"/>
          </w:tcPr>
          <w:p>
            <w:pPr>
              <w:pStyle w:val="2"/>
              <w:jc w:val="both"/>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95W，标准IEEE802.3af/at/bt，8个端口同时使用时，平均每端口功率最大71W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总功率/输入电压</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600W 交流（AC100-240V）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配套电源</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内置开关电源，AC：100～240V 50-60Hz 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工作温度/湿度</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-20～+55°C；5%～90% RH无凝结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pStyle w:val="2"/>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存储温度/湿度</w:t>
            </w:r>
          </w:p>
        </w:tc>
        <w:tc>
          <w:tcPr>
            <w:tcW w:w="6193" w:type="dxa"/>
            <w:vAlign w:val="center"/>
          </w:tcPr>
          <w:p>
            <w:pPr>
              <w:pStyle w:val="2"/>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-40～+80°C；5%～95% RH无凝结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外观尺寸</w:t>
            </w:r>
          </w:p>
        </w:tc>
        <w:tc>
          <w:tcPr>
            <w:tcW w:w="6193" w:type="dxa"/>
            <w:vAlign w:val="center"/>
          </w:tcPr>
          <w:p>
            <w:p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rPr>
              <w:t>（L*W*H）：440*181*44.5mm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净重/毛重</w:t>
            </w:r>
          </w:p>
        </w:tc>
        <w:tc>
          <w:tcPr>
            <w:tcW w:w="6193" w:type="dxa"/>
            <w:vAlign w:val="center"/>
          </w:tcPr>
          <w:p>
            <w:p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rPr>
              <w:t>＜2.5kg /＜3.0kg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08" w:type="dxa"/>
            <w:vAlign w:val="center"/>
          </w:tcPr>
          <w:p>
            <w:pPr>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安装方式</w:t>
            </w:r>
          </w:p>
        </w:tc>
        <w:tc>
          <w:tcPr>
            <w:tcW w:w="6193" w:type="dxa"/>
            <w:vAlign w:val="center"/>
          </w:tcPr>
          <w:p>
            <w:p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rPr>
              <w:t>桌面、1U/19寸机柜安装</w:t>
            </w:r>
          </w:p>
        </w:tc>
      </w:tr>
    </w:tbl>
    <w:p>
      <w:pPr>
        <w:pStyle w:val="2"/>
        <w:rPr>
          <w:rFonts w:hint="eastAsia" w:ascii="微软雅黑" w:hAnsi="微软雅黑" w:eastAsia="微软雅黑" w:cs="微软雅黑"/>
          <w:b/>
          <w:bCs/>
          <w:color w:val="auto"/>
          <w:kern w:val="2"/>
          <w:sz w:val="36"/>
          <w:szCs w:val="36"/>
          <w:lang w:val="en-US" w:eastAsia="zh-CN" w:bidi="ar-SA"/>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9C76449"/>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36F23"/>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4241178"/>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928</Words>
  <Characters>1233</Characters>
  <Lines>6</Lines>
  <Paragraphs>1</Paragraphs>
  <TotalTime>3</TotalTime>
  <ScaleCrop>false</ScaleCrop>
  <LinksUpToDate>false</LinksUpToDate>
  <CharactersWithSpaces>1248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2022-11-25T10:01:59Z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534A0B90D0164DFDAA7CF6D422ACF4A7</vt:lpwstr>
  </property>
</Properties>
</file>