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12寸全频</w:t>
      </w:r>
      <w:bookmarkStart w:id="1" w:name="_GoBack"/>
      <w:bookmarkEnd w:id="1"/>
      <w:r>
        <w:rPr>
          <w:rFonts w:hint="eastAsia" w:ascii="微软雅黑" w:hAnsi="微软雅黑" w:eastAsia="微软雅黑" w:cstheme="minorBidi"/>
          <w:b/>
          <w:kern w:val="2"/>
          <w:sz w:val="52"/>
          <w:szCs w:val="52"/>
          <w:lang w:val="en-US" w:eastAsia="zh-CN" w:bidi="ar-SA"/>
        </w:rPr>
        <w:t>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PD-12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drawing>
          <wp:inline distT="0" distB="0" distL="114300" distR="114300">
            <wp:extent cx="1443355" cy="2556510"/>
            <wp:effectExtent l="0" t="0" r="444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443355" cy="2556510"/>
                    </a:xfrm>
                    <a:prstGeom prst="rect">
                      <a:avLst/>
                    </a:prstGeom>
                    <a:noFill/>
                    <a:ln>
                      <a:noFill/>
                    </a:ln>
                  </pic:spPr>
                </pic:pic>
              </a:graphicData>
            </a:graphic>
          </wp:inline>
        </w:drawing>
      </w: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PD-12是一只宽频带及高性能的无源分频两路扬声器系统。它包含有一只12英寸的低音单元和一只1英寸开口的压缩高音单元，高音单元安装于90x70 度的可旋转方形号角上</w:t>
      </w:r>
      <w:r>
        <w:rPr>
          <w:rFonts w:hint="default" w:ascii="微软雅黑" w:hAnsi="微软雅黑" w:eastAsia="微软雅黑" w:cs="微软雅黑"/>
          <w:kern w:val="2"/>
          <w:sz w:val="24"/>
          <w:szCs w:val="24"/>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PD-12可完美地应用于夜总会和酒吧、多功能厅等各种专业扩声系统中。箱体带有四种角度倾斜角，十分适合作为专业舞台返送音箱使用。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1x12</w:t>
      </w:r>
      <w:r>
        <w:rPr>
          <w:rFonts w:hint="eastAsia" w:ascii="微软雅黑" w:hAnsi="微软雅黑" w:eastAsia="微软雅黑" w:cs="微软雅黑"/>
          <w:kern w:val="2"/>
          <w:sz w:val="24"/>
          <w:szCs w:val="24"/>
          <w:lang w:val="en-US" w:eastAsia="zh-CN" w:bidi="ar-SA"/>
        </w:rPr>
        <w:t>英寸</w:t>
      </w:r>
      <w:r>
        <w:rPr>
          <w:rFonts w:hint="default" w:ascii="微软雅黑" w:hAnsi="微软雅黑" w:eastAsia="微软雅黑" w:cs="微软雅黑"/>
          <w:kern w:val="2"/>
          <w:sz w:val="24"/>
          <w:szCs w:val="24"/>
          <w:lang w:val="en-US" w:eastAsia="zh-CN" w:bidi="ar-SA"/>
        </w:rPr>
        <w:t xml:space="preserve">(300mm) </w:t>
      </w:r>
      <w:r>
        <w:rPr>
          <w:rFonts w:hint="eastAsia" w:ascii="微软雅黑" w:hAnsi="微软雅黑" w:eastAsia="微软雅黑" w:cs="微软雅黑"/>
          <w:kern w:val="2"/>
          <w:sz w:val="24"/>
          <w:szCs w:val="24"/>
          <w:lang w:val="en-US" w:eastAsia="zh-CN" w:bidi="ar-SA"/>
        </w:rPr>
        <w:t xml:space="preserve">大功率低音驱动器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1x1</w:t>
      </w:r>
      <w:r>
        <w:rPr>
          <w:rFonts w:hint="eastAsia" w:ascii="微软雅黑" w:hAnsi="微软雅黑" w:eastAsia="微软雅黑" w:cs="微软雅黑"/>
          <w:kern w:val="2"/>
          <w:sz w:val="24"/>
          <w:szCs w:val="24"/>
          <w:lang w:val="en-US" w:eastAsia="zh-CN" w:bidi="ar-SA"/>
        </w:rPr>
        <w:t xml:space="preserve">英寸开口的大功率压缩驱动器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 xml:space="preserve">90x70 </w:t>
      </w:r>
      <w:r>
        <w:rPr>
          <w:rFonts w:hint="eastAsia" w:ascii="微软雅黑" w:hAnsi="微软雅黑" w:eastAsia="微软雅黑" w:cs="微软雅黑"/>
          <w:kern w:val="2"/>
          <w:sz w:val="24"/>
          <w:szCs w:val="24"/>
          <w:lang w:val="en-US" w:eastAsia="zh-CN" w:bidi="ar-SA"/>
        </w:rPr>
        <w:t xml:space="preserve">度的可旋转方形号角用于中、短距离的投射使用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分频器</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无源</w:t>
      </w:r>
      <w:r>
        <w:rPr>
          <w:rFonts w:hint="default" w:ascii="微软雅黑" w:hAnsi="微软雅黑" w:eastAsia="微软雅黑" w:cs="微软雅黑"/>
          <w:kern w:val="2"/>
          <w:sz w:val="24"/>
          <w:szCs w:val="24"/>
          <w:lang w:val="en-US" w:eastAsia="zh-CN" w:bidi="ar-SA"/>
        </w:rPr>
        <w:t xml:space="preserve"> 12dB</w:t>
      </w:r>
      <w:r>
        <w:rPr>
          <w:rFonts w:hint="eastAsia" w:ascii="微软雅黑" w:hAnsi="微软雅黑" w:eastAsia="微软雅黑" w:cs="微软雅黑"/>
          <w:kern w:val="2"/>
          <w:sz w:val="24"/>
          <w:szCs w:val="24"/>
          <w:lang w:val="en-US" w:eastAsia="zh-CN" w:bidi="ar-SA"/>
        </w:rPr>
        <w:t xml:space="preserve">倍频程及高音单元均衡处理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箱体</w:t>
      </w:r>
      <w:r>
        <w:rPr>
          <w:rFonts w:hint="default" w:ascii="微软雅黑" w:hAnsi="微软雅黑" w:eastAsia="微软雅黑" w:cs="微软雅黑"/>
          <w:kern w:val="2"/>
          <w:sz w:val="24"/>
          <w:szCs w:val="24"/>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479" w:leftChars="228" w:right="0" w:rightChars="0" w:firstLine="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倒相式箱体结构</w:t>
      </w:r>
      <w:r>
        <w:rPr>
          <w:rFonts w:hint="default" w:ascii="微软雅黑" w:hAnsi="微软雅黑" w:eastAsia="微软雅黑" w:cs="微软雅黑"/>
          <w:kern w:val="2"/>
          <w:sz w:val="24"/>
          <w:szCs w:val="24"/>
          <w:lang w:val="en-US" w:eastAsia="zh-CN" w:bidi="ar-SA"/>
        </w:rPr>
        <w:t>,</w:t>
      </w:r>
      <w:r>
        <w:rPr>
          <w:rFonts w:hint="eastAsia" w:ascii="微软雅黑" w:hAnsi="微软雅黑" w:eastAsia="微软雅黑" w:cs="微软雅黑"/>
          <w:kern w:val="2"/>
          <w:sz w:val="24"/>
          <w:szCs w:val="24"/>
          <w:lang w:val="en-US" w:eastAsia="zh-CN" w:bidi="ar-SA"/>
        </w:rPr>
        <w:t xml:space="preserve">采用高品质的15毫米夹板。表面喷专业的防护漆。四个斜角的箱体设计便于作水平阵列及舞台返送使用。 </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多功能</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全频带音箱</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90×70度恒指向号角</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号角可作90度旋转</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快速装卸面网</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多角度外形用作舞台返送</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顶端一个木制挽手</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12个M8飞行吊点</w:t>
      </w: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Theme="minorEastAsia" w:hAnsiTheme="minorEastAsia" w:eastAsiaTheme="minorEastAsia" w:cstheme="minorEastAsia"/>
          <w:sz w:val="20"/>
          <w:szCs w:val="20"/>
          <w:lang w:val="en-US" w:eastAsia="zh-CN"/>
        </w:rPr>
      </w:pPr>
      <w:r>
        <w:rPr>
          <w:rFonts w:hint="eastAsia" w:ascii="微软雅黑" w:hAnsi="微软雅黑" w:eastAsia="微软雅黑" w:cs="微软雅黑"/>
          <w:b/>
          <w:bCs/>
          <w:kern w:val="2"/>
          <w:sz w:val="36"/>
          <w:szCs w:val="36"/>
          <w:lang w:val="en-US" w:eastAsia="zh-CN" w:bidi="ar-SA"/>
        </w:rPr>
        <w:t>三、产品参数</w:t>
      </w:r>
    </w:p>
    <w:tbl>
      <w:tblPr>
        <w:tblStyle w:val="14"/>
        <w:tblpPr w:leftFromText="180" w:rightFromText="180" w:vertAnchor="text" w:horzAnchor="page" w:tblpX="1721" w:tblpY="328"/>
        <w:tblOverlap w:val="never"/>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069"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PD-1</w:t>
            </w:r>
            <w:r>
              <w:rPr>
                <w:rFonts w:hint="eastAsia" w:asciiTheme="minorEastAsia" w:hAnsiTheme="minorEastAsia" w:cstheme="minorEastAsia"/>
                <w:b/>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灵敏度（1米/1瓦,f&gt;100Hz）</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长期最大声压级</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峰值最大声压级</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128dB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标称阻抗</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8 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指向性</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90x70度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额定功率</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350W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节目功率</w:t>
            </w:r>
          </w:p>
        </w:tc>
        <w:tc>
          <w:tcPr>
            <w:tcW w:w="6069" w:type="dxa"/>
            <w:noWrap w:val="0"/>
            <w:vAlign w:val="bottom"/>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700W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峰值功率</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1400W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 xml:space="preserve">驱动器配置 </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1x1”HF+1x12”LF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箱体构成</w:t>
            </w:r>
          </w:p>
        </w:tc>
        <w:tc>
          <w:tcPr>
            <w:tcW w:w="6069" w:type="dxa"/>
            <w:noWrap w:val="0"/>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优质多层胶合板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rPr>
              <w:t>外形尺寸（深*宽*高）</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350*388*570mm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6069"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24kg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jc w:val="both"/>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pStyle w:val="2"/>
        <w:jc w:val="center"/>
      </w:pPr>
      <w:r>
        <w:drawing>
          <wp:inline distT="0" distB="0" distL="114300" distR="114300">
            <wp:extent cx="1262380" cy="16764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262380" cy="1676400"/>
                    </a:xfrm>
                    <a:prstGeom prst="rect">
                      <a:avLst/>
                    </a:prstGeom>
                    <a:noFill/>
                    <a:ln>
                      <a:noFill/>
                    </a:ln>
                  </pic:spPr>
                </pic:pic>
              </a:graphicData>
            </a:graphic>
          </wp:inline>
        </w:drawing>
      </w:r>
      <w:r>
        <w:drawing>
          <wp:inline distT="0" distB="0" distL="114300" distR="114300">
            <wp:extent cx="1033780" cy="1495425"/>
            <wp:effectExtent l="0" t="0" r="4445"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tretch>
                      <a:fillRect/>
                    </a:stretch>
                  </pic:blipFill>
                  <pic:spPr>
                    <a:xfrm>
                      <a:off x="0" y="0"/>
                      <a:ext cx="1033780" cy="1495425"/>
                    </a:xfrm>
                    <a:prstGeom prst="rect">
                      <a:avLst/>
                    </a:prstGeom>
                    <a:noFill/>
                    <a:ln>
                      <a:noFill/>
                    </a:ln>
                  </pic:spPr>
                </pic:pic>
              </a:graphicData>
            </a:graphic>
          </wp:inline>
        </w:drawing>
      </w:r>
    </w:p>
    <w:p>
      <w:pPr>
        <w:pStyle w:val="2"/>
        <w:jc w:val="center"/>
      </w:pPr>
      <w:r>
        <w:drawing>
          <wp:inline distT="0" distB="0" distL="114300" distR="114300">
            <wp:extent cx="1285875" cy="1633855"/>
            <wp:effectExtent l="0" t="0" r="0" b="44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1285875" cy="1633855"/>
                    </a:xfrm>
                    <a:prstGeom prst="rect">
                      <a:avLst/>
                    </a:prstGeom>
                    <a:noFill/>
                    <a:ln>
                      <a:noFill/>
                    </a:ln>
                  </pic:spPr>
                </pic:pic>
              </a:graphicData>
            </a:graphic>
          </wp:inline>
        </w:drawing>
      </w:r>
      <w:r>
        <w:drawing>
          <wp:inline distT="0" distB="0" distL="114300" distR="114300">
            <wp:extent cx="1143000" cy="1643380"/>
            <wp:effectExtent l="0" t="0" r="0" b="444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1143000" cy="1643380"/>
                    </a:xfrm>
                    <a:prstGeom prst="rect">
                      <a:avLst/>
                    </a:prstGeom>
                    <a:noFill/>
                    <a:ln>
                      <a:noFill/>
                    </a:ln>
                  </pic:spPr>
                </pic:pic>
              </a:graphicData>
            </a:graphic>
          </wp:inline>
        </w:drawing>
      </w:r>
    </w:p>
    <w:p>
      <w:pPr>
        <w:pStyle w:val="2"/>
        <w:jc w:val="center"/>
      </w:pPr>
      <w:r>
        <w:drawing>
          <wp:inline distT="0" distB="0" distL="114300" distR="114300">
            <wp:extent cx="1285875" cy="131445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1285875" cy="1314450"/>
                    </a:xfrm>
                    <a:prstGeom prst="rect">
                      <a:avLst/>
                    </a:prstGeom>
                    <a:noFill/>
                    <a:ln>
                      <a:noFill/>
                    </a:ln>
                  </pic:spPr>
                </pic:pic>
              </a:graphicData>
            </a:graphic>
          </wp:inline>
        </w:drawing>
      </w:r>
      <w:r>
        <w:drawing>
          <wp:inline distT="0" distB="0" distL="114300" distR="114300">
            <wp:extent cx="1243330" cy="1200150"/>
            <wp:effectExtent l="0" t="0" r="4445"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2"/>
                    <a:stretch>
                      <a:fillRect/>
                    </a:stretch>
                  </pic:blipFill>
                  <pic:spPr>
                    <a:xfrm>
                      <a:off x="0" y="0"/>
                      <a:ext cx="1243330" cy="1200150"/>
                    </a:xfrm>
                    <a:prstGeom prst="rect">
                      <a:avLst/>
                    </a:prstGeom>
                    <a:noFill/>
                    <a:ln>
                      <a:noFill/>
                    </a:ln>
                  </pic:spPr>
                </pic:pic>
              </a:graphicData>
            </a:graphic>
          </wp:inline>
        </w:drawing>
      </w:r>
    </w:p>
    <w:p>
      <w:pPr>
        <w:pStyle w:val="2"/>
        <w:jc w:val="center"/>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1442A7B"/>
    <w:rsid w:val="02052AB7"/>
    <w:rsid w:val="02936E28"/>
    <w:rsid w:val="035241C7"/>
    <w:rsid w:val="04B213C1"/>
    <w:rsid w:val="04E23328"/>
    <w:rsid w:val="057E74F5"/>
    <w:rsid w:val="05A131E3"/>
    <w:rsid w:val="06684170"/>
    <w:rsid w:val="06A64F55"/>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3A7468"/>
    <w:rsid w:val="16CA259A"/>
    <w:rsid w:val="17D80473"/>
    <w:rsid w:val="180C0990"/>
    <w:rsid w:val="183028D1"/>
    <w:rsid w:val="18D94D16"/>
    <w:rsid w:val="1C024584"/>
    <w:rsid w:val="1D61352C"/>
    <w:rsid w:val="1E7B061E"/>
    <w:rsid w:val="1F0B7BF4"/>
    <w:rsid w:val="1F14208B"/>
    <w:rsid w:val="207F7B8E"/>
    <w:rsid w:val="21F11323"/>
    <w:rsid w:val="22891A2C"/>
    <w:rsid w:val="22EA5D72"/>
    <w:rsid w:val="24561911"/>
    <w:rsid w:val="24FA6740"/>
    <w:rsid w:val="25800FD6"/>
    <w:rsid w:val="25D30D3F"/>
    <w:rsid w:val="26913D65"/>
    <w:rsid w:val="26A34BB6"/>
    <w:rsid w:val="28164F13"/>
    <w:rsid w:val="28D51B53"/>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A353A8"/>
    <w:rsid w:val="3ACA6ACC"/>
    <w:rsid w:val="3C4D4F50"/>
    <w:rsid w:val="3D1B32A0"/>
    <w:rsid w:val="3D5F318D"/>
    <w:rsid w:val="3DFC6C2D"/>
    <w:rsid w:val="3DFE0BF8"/>
    <w:rsid w:val="3F163D1F"/>
    <w:rsid w:val="402C30CE"/>
    <w:rsid w:val="40DC4AF4"/>
    <w:rsid w:val="41CE08E1"/>
    <w:rsid w:val="445F194D"/>
    <w:rsid w:val="449F6565"/>
    <w:rsid w:val="455C26A8"/>
    <w:rsid w:val="45E5269D"/>
    <w:rsid w:val="4C1B2975"/>
    <w:rsid w:val="4C8D7F5E"/>
    <w:rsid w:val="4E582F7C"/>
    <w:rsid w:val="4E870795"/>
    <w:rsid w:val="4E9764FE"/>
    <w:rsid w:val="4EA8496E"/>
    <w:rsid w:val="503F0BFC"/>
    <w:rsid w:val="507E4E67"/>
    <w:rsid w:val="50BB2978"/>
    <w:rsid w:val="50EC0D83"/>
    <w:rsid w:val="51905BB3"/>
    <w:rsid w:val="51BC69A8"/>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6D571E"/>
    <w:rsid w:val="60FD6695"/>
    <w:rsid w:val="612C0D28"/>
    <w:rsid w:val="619C1A0A"/>
    <w:rsid w:val="61AA1D5B"/>
    <w:rsid w:val="62053A53"/>
    <w:rsid w:val="64BE25DF"/>
    <w:rsid w:val="65E352CA"/>
    <w:rsid w:val="677671A1"/>
    <w:rsid w:val="690A736D"/>
    <w:rsid w:val="69586B5E"/>
    <w:rsid w:val="69D72179"/>
    <w:rsid w:val="6A8B0F41"/>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B4A8C"/>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1066</Words>
  <Characters>1189</Characters>
  <Lines>6</Lines>
  <Paragraphs>1</Paragraphs>
  <TotalTime>1</TotalTime>
  <ScaleCrop>false</ScaleCrop>
  <LinksUpToDate>false</LinksUpToDate>
  <CharactersWithSpaces>1204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2022-12-20T07:29:45Z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904241E3F2E84784B26B72010757B393</vt:lpwstr>
  </property>
</Properties>
</file>