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15寸全频</w:t>
      </w:r>
      <w:bookmarkStart w:id="1" w:name="_GoBack"/>
      <w:bookmarkEnd w:id="1"/>
      <w:r>
        <w:rPr>
          <w:rFonts w:hint="eastAsia" w:ascii="微软雅黑" w:hAnsi="微软雅黑" w:eastAsia="微软雅黑" w:cstheme="minorBidi"/>
          <w:b/>
          <w:kern w:val="2"/>
          <w:sz w:val="52"/>
          <w:szCs w:val="52"/>
          <w:lang w:val="en-US" w:eastAsia="zh-CN" w:bidi="ar-SA"/>
        </w:rPr>
        <w:t>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PD-15</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drawing>
          <wp:inline distT="0" distB="0" distL="114300" distR="114300">
            <wp:extent cx="2286000" cy="3548380"/>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286000" cy="354838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PD-15是一只宽频带及高性能的无源分频两路扬声器系统。它包含有一只15英寸的低音单元和一只1英寸开口的压缩高音单元，高音单元安装于90x40 度的可旋转方形号角上</w:t>
      </w:r>
      <w:r>
        <w:rPr>
          <w:rFonts w:hint="default" w:ascii="微软雅黑" w:hAnsi="微软雅黑" w:eastAsia="微软雅黑" w:cs="微软雅黑"/>
          <w:kern w:val="2"/>
          <w:sz w:val="24"/>
          <w:szCs w:val="24"/>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PD-15可完美地应用于夜总会和酒吧、多功能厅等各种专业扩声系统中。箱体带有四种角度倾斜角，十分适合作为专业舞台返送音箱使用。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1x15</w:t>
      </w:r>
      <w:r>
        <w:rPr>
          <w:rFonts w:hint="eastAsia" w:ascii="微软雅黑" w:hAnsi="微软雅黑" w:eastAsia="微软雅黑" w:cs="微软雅黑"/>
          <w:kern w:val="2"/>
          <w:sz w:val="24"/>
          <w:szCs w:val="24"/>
          <w:lang w:val="en-US" w:eastAsia="zh-CN" w:bidi="ar-SA"/>
        </w:rPr>
        <w:t>英寸</w:t>
      </w:r>
      <w:r>
        <w:rPr>
          <w:rFonts w:hint="default" w:ascii="微软雅黑" w:hAnsi="微软雅黑" w:eastAsia="微软雅黑" w:cs="微软雅黑"/>
          <w:kern w:val="2"/>
          <w:sz w:val="24"/>
          <w:szCs w:val="24"/>
          <w:lang w:val="en-US" w:eastAsia="zh-CN" w:bidi="ar-SA"/>
        </w:rPr>
        <w:t xml:space="preserve">(380mm) </w:t>
      </w:r>
      <w:r>
        <w:rPr>
          <w:rFonts w:hint="eastAsia" w:ascii="微软雅黑" w:hAnsi="微软雅黑" w:eastAsia="微软雅黑" w:cs="微软雅黑"/>
          <w:kern w:val="2"/>
          <w:sz w:val="24"/>
          <w:szCs w:val="24"/>
          <w:lang w:val="en-US" w:eastAsia="zh-CN" w:bidi="ar-SA"/>
        </w:rPr>
        <w:t xml:space="preserve">大功率低音驱动器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1x1</w:t>
      </w:r>
      <w:r>
        <w:rPr>
          <w:rFonts w:hint="eastAsia" w:ascii="微软雅黑" w:hAnsi="微软雅黑" w:eastAsia="微软雅黑" w:cs="微软雅黑"/>
          <w:kern w:val="2"/>
          <w:sz w:val="24"/>
          <w:szCs w:val="24"/>
          <w:lang w:val="en-US" w:eastAsia="zh-CN" w:bidi="ar-SA"/>
        </w:rPr>
        <w:t xml:space="preserve">英寸开口的大功率压缩驱动器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 xml:space="preserve">90x40 </w:t>
      </w:r>
      <w:r>
        <w:rPr>
          <w:rFonts w:hint="eastAsia" w:ascii="微软雅黑" w:hAnsi="微软雅黑" w:eastAsia="微软雅黑" w:cs="微软雅黑"/>
          <w:kern w:val="2"/>
          <w:sz w:val="24"/>
          <w:szCs w:val="24"/>
          <w:lang w:val="en-US" w:eastAsia="zh-CN" w:bidi="ar-SA"/>
        </w:rPr>
        <w:t xml:space="preserve">度的可旋转方形号角用于中、短距离的投射使用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分频器</w:t>
      </w:r>
      <w:r>
        <w:rPr>
          <w:rFonts w:hint="default" w:ascii="微软雅黑" w:hAnsi="微软雅黑" w:eastAsia="微软雅黑" w:cs="微软雅黑"/>
          <w:kern w:val="2"/>
          <w:sz w:val="24"/>
          <w:szCs w:val="24"/>
          <w:lang w:val="en-US" w:eastAsia="zh-CN" w:bidi="ar-SA"/>
        </w:rPr>
        <w:t>:</w:t>
      </w:r>
      <w:r>
        <w:rPr>
          <w:rFonts w:hint="eastAsia" w:ascii="微软雅黑" w:hAnsi="微软雅黑" w:eastAsia="微软雅黑" w:cs="微软雅黑"/>
          <w:kern w:val="2"/>
          <w:sz w:val="24"/>
          <w:szCs w:val="24"/>
          <w:lang w:val="en-US" w:eastAsia="zh-CN" w:bidi="ar-SA"/>
        </w:rPr>
        <w:t>无源</w:t>
      </w:r>
      <w:r>
        <w:rPr>
          <w:rFonts w:hint="default" w:ascii="微软雅黑" w:hAnsi="微软雅黑" w:eastAsia="微软雅黑" w:cs="微软雅黑"/>
          <w:kern w:val="2"/>
          <w:sz w:val="24"/>
          <w:szCs w:val="24"/>
          <w:lang w:val="en-US" w:eastAsia="zh-CN" w:bidi="ar-SA"/>
        </w:rPr>
        <w:t xml:space="preserve"> 12dB</w:t>
      </w:r>
      <w:r>
        <w:rPr>
          <w:rFonts w:hint="eastAsia" w:ascii="微软雅黑" w:hAnsi="微软雅黑" w:eastAsia="微软雅黑" w:cs="微软雅黑"/>
          <w:kern w:val="2"/>
          <w:sz w:val="24"/>
          <w:szCs w:val="24"/>
          <w:lang w:val="en-US" w:eastAsia="zh-CN" w:bidi="ar-SA"/>
        </w:rPr>
        <w:t xml:space="preserve">倍频程及高音单元均衡处理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箱体</w:t>
      </w:r>
      <w:r>
        <w:rPr>
          <w:rFonts w:hint="default" w:ascii="微软雅黑" w:hAnsi="微软雅黑" w:eastAsia="微软雅黑" w:cs="微软雅黑"/>
          <w:kern w:val="2"/>
          <w:sz w:val="24"/>
          <w:szCs w:val="24"/>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倒相式箱体结构</w:t>
      </w:r>
      <w:r>
        <w:rPr>
          <w:rFonts w:hint="default" w:ascii="微软雅黑" w:hAnsi="微软雅黑" w:eastAsia="微软雅黑" w:cs="微软雅黑"/>
          <w:kern w:val="2"/>
          <w:sz w:val="24"/>
          <w:szCs w:val="24"/>
          <w:lang w:val="en-US" w:eastAsia="zh-CN" w:bidi="ar-SA"/>
        </w:rPr>
        <w:t>,</w:t>
      </w:r>
      <w:r>
        <w:rPr>
          <w:rFonts w:hint="eastAsia" w:ascii="微软雅黑" w:hAnsi="微软雅黑" w:eastAsia="微软雅黑" w:cs="微软雅黑"/>
          <w:kern w:val="2"/>
          <w:sz w:val="24"/>
          <w:szCs w:val="24"/>
          <w:lang w:val="en-US" w:eastAsia="zh-CN" w:bidi="ar-SA"/>
        </w:rPr>
        <w:t xml:space="preserve">采用高品质的18毫米夹板。表面喷专业的防护漆.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四个斜角的箱体设计便于作水平阵列及舞台返送使用。 </w:t>
      </w: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多功能</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全频带音箱</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90×40度恒指向号角</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号角可作90度旋转</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快速装卸面网</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多角度外形用作舞台返送</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顶端3个木制挽手</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13个M8飞行吊点</w:t>
      </w: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三、产品参数</w:t>
      </w:r>
    </w:p>
    <w:tbl>
      <w:tblPr>
        <w:tblStyle w:val="14"/>
        <w:tblpPr w:leftFromText="180" w:rightFromText="180" w:vertAnchor="text" w:horzAnchor="page" w:tblpX="1721" w:tblpY="328"/>
        <w:tblOverlap w:val="never"/>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6069"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PD-1</w:t>
            </w:r>
            <w:r>
              <w:rPr>
                <w:rFonts w:hint="eastAsia" w:asciiTheme="minorEastAsia" w:hAnsiTheme="minorEastAsia" w:cstheme="minorEastAsia"/>
                <w:b/>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轴向频率响应</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50Hz-19kHz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灵敏度（1米/1瓦,f&gt;100Hz）</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99dB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长期最大声压级</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峰值最大声压级</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131dB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标称阻抗</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 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指向性</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90x40度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额定功率</w:t>
            </w:r>
          </w:p>
        </w:tc>
        <w:tc>
          <w:tcPr>
            <w:tcW w:w="6069" w:type="dxa"/>
            <w:noWrap w:val="0"/>
            <w:vAlign w:val="bottom"/>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400W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节目功率</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峰值功率</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1600W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 xml:space="preserve">驱动器配置 </w:t>
            </w:r>
          </w:p>
        </w:tc>
        <w:tc>
          <w:tcPr>
            <w:tcW w:w="6069" w:type="dxa"/>
            <w:noWrap w:val="0"/>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1x1”HF+1x15”LF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rPr>
              <w:t>箱体构成</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优质多层胶合板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外形尺寸（深*宽*高）</w:t>
            </w:r>
          </w:p>
        </w:tc>
        <w:tc>
          <w:tcPr>
            <w:tcW w:w="6069" w:type="dxa"/>
            <w:noWrap w:val="0"/>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420*468*700mm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30kg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jc w:val="both"/>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四、尺寸结构图</w:t>
      </w:r>
    </w:p>
    <w:p>
      <w:pPr>
        <w:pStyle w:val="2"/>
        <w:jc w:val="center"/>
      </w:pPr>
      <w:r>
        <w:drawing>
          <wp:inline distT="0" distB="0" distL="114300" distR="114300">
            <wp:extent cx="1119505" cy="16383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119505" cy="1638300"/>
                    </a:xfrm>
                    <a:prstGeom prst="rect">
                      <a:avLst/>
                    </a:prstGeom>
                    <a:noFill/>
                    <a:ln>
                      <a:noFill/>
                    </a:ln>
                  </pic:spPr>
                </pic:pic>
              </a:graphicData>
            </a:graphic>
          </wp:inline>
        </w:drawing>
      </w:r>
      <w:r>
        <w:drawing>
          <wp:inline distT="0" distB="0" distL="114300" distR="114300">
            <wp:extent cx="1367155" cy="1609725"/>
            <wp:effectExtent l="0" t="0" r="444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1367155" cy="1609725"/>
                    </a:xfrm>
                    <a:prstGeom prst="rect">
                      <a:avLst/>
                    </a:prstGeom>
                    <a:noFill/>
                    <a:ln>
                      <a:noFill/>
                    </a:ln>
                  </pic:spPr>
                </pic:pic>
              </a:graphicData>
            </a:graphic>
          </wp:inline>
        </w:drawing>
      </w:r>
    </w:p>
    <w:p>
      <w:pPr>
        <w:pStyle w:val="2"/>
        <w:jc w:val="center"/>
      </w:pPr>
      <w:r>
        <w:drawing>
          <wp:inline distT="0" distB="0" distL="114300" distR="114300">
            <wp:extent cx="1104900" cy="1514475"/>
            <wp:effectExtent l="0" t="0" r="0" b="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9"/>
                    <a:stretch>
                      <a:fillRect/>
                    </a:stretch>
                  </pic:blipFill>
                  <pic:spPr>
                    <a:xfrm>
                      <a:off x="0" y="0"/>
                      <a:ext cx="1104900" cy="1514475"/>
                    </a:xfrm>
                    <a:prstGeom prst="rect">
                      <a:avLst/>
                    </a:prstGeom>
                    <a:noFill/>
                    <a:ln>
                      <a:noFill/>
                    </a:ln>
                  </pic:spPr>
                </pic:pic>
              </a:graphicData>
            </a:graphic>
          </wp:inline>
        </w:drawing>
      </w:r>
      <w:r>
        <w:drawing>
          <wp:inline distT="0" distB="0" distL="114300" distR="114300">
            <wp:extent cx="1247775" cy="1681480"/>
            <wp:effectExtent l="0" t="0" r="0" b="444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0"/>
                    <a:stretch>
                      <a:fillRect/>
                    </a:stretch>
                  </pic:blipFill>
                  <pic:spPr>
                    <a:xfrm>
                      <a:off x="0" y="0"/>
                      <a:ext cx="1247775" cy="1681480"/>
                    </a:xfrm>
                    <a:prstGeom prst="rect">
                      <a:avLst/>
                    </a:prstGeom>
                    <a:noFill/>
                    <a:ln>
                      <a:noFill/>
                    </a:ln>
                  </pic:spPr>
                </pic:pic>
              </a:graphicData>
            </a:graphic>
          </wp:inline>
        </w:drawing>
      </w:r>
    </w:p>
    <w:p>
      <w:pPr>
        <w:pStyle w:val="2"/>
        <w:jc w:val="center"/>
      </w:pPr>
      <w:r>
        <w:drawing>
          <wp:inline distT="0" distB="0" distL="114300" distR="114300">
            <wp:extent cx="1428750" cy="1285875"/>
            <wp:effectExtent l="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1"/>
                    <a:stretch>
                      <a:fillRect/>
                    </a:stretch>
                  </pic:blipFill>
                  <pic:spPr>
                    <a:xfrm>
                      <a:off x="0" y="0"/>
                      <a:ext cx="1428750" cy="1285875"/>
                    </a:xfrm>
                    <a:prstGeom prst="rect">
                      <a:avLst/>
                    </a:prstGeom>
                    <a:noFill/>
                    <a:ln>
                      <a:noFill/>
                    </a:ln>
                  </pic:spPr>
                </pic:pic>
              </a:graphicData>
            </a:graphic>
          </wp:inline>
        </w:drawing>
      </w:r>
      <w:r>
        <w:drawing>
          <wp:inline distT="0" distB="0" distL="114300" distR="114300">
            <wp:extent cx="1129030" cy="1157605"/>
            <wp:effectExtent l="0" t="0" r="4445" b="444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2"/>
                    <a:stretch>
                      <a:fillRect/>
                    </a:stretch>
                  </pic:blipFill>
                  <pic:spPr>
                    <a:xfrm>
                      <a:off x="0" y="0"/>
                      <a:ext cx="1129030" cy="1157605"/>
                    </a:xfrm>
                    <a:prstGeom prst="rect">
                      <a:avLst/>
                    </a:prstGeom>
                    <a:noFill/>
                    <a:ln>
                      <a:noFill/>
                    </a:ln>
                  </pic:spPr>
                </pic:pic>
              </a:graphicData>
            </a:graphic>
          </wp:inline>
        </w:drawing>
      </w:r>
    </w:p>
    <w:p>
      <w:pPr>
        <w:pStyle w:val="2"/>
        <w:jc w:val="center"/>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86B7B"/>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BC834E9"/>
    <w:rsid w:val="0CF32576"/>
    <w:rsid w:val="0D224E4F"/>
    <w:rsid w:val="0F2B3991"/>
    <w:rsid w:val="0F621021"/>
    <w:rsid w:val="101C440E"/>
    <w:rsid w:val="10234F21"/>
    <w:rsid w:val="114C66F9"/>
    <w:rsid w:val="114E06C3"/>
    <w:rsid w:val="119C02A6"/>
    <w:rsid w:val="11C91AF8"/>
    <w:rsid w:val="13325EA5"/>
    <w:rsid w:val="14787805"/>
    <w:rsid w:val="15AD16D9"/>
    <w:rsid w:val="15E2762C"/>
    <w:rsid w:val="16CA259A"/>
    <w:rsid w:val="17D80473"/>
    <w:rsid w:val="180C0990"/>
    <w:rsid w:val="183028D1"/>
    <w:rsid w:val="18D94D16"/>
    <w:rsid w:val="1C024584"/>
    <w:rsid w:val="1D61352C"/>
    <w:rsid w:val="1DFF303D"/>
    <w:rsid w:val="1E7B061E"/>
    <w:rsid w:val="1F0B7BF4"/>
    <w:rsid w:val="1F14208B"/>
    <w:rsid w:val="207F7B8E"/>
    <w:rsid w:val="21F11323"/>
    <w:rsid w:val="22EA5D72"/>
    <w:rsid w:val="24561911"/>
    <w:rsid w:val="25800FD6"/>
    <w:rsid w:val="25D30D3F"/>
    <w:rsid w:val="26913D65"/>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2D037F0"/>
    <w:rsid w:val="538C05FC"/>
    <w:rsid w:val="541E6882"/>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86423D"/>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1073</Words>
  <Characters>1205</Characters>
  <Lines>6</Lines>
  <Paragraphs>1</Paragraphs>
  <TotalTime>1</TotalTime>
  <ScaleCrop>false</ScaleCrop>
  <LinksUpToDate>false</LinksUpToDate>
  <CharactersWithSpaces>1221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2022-12-20T07:29:44Z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52A6F955A43F4A118D76125C81360106</vt:lpwstr>
  </property>
</Properties>
</file>