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双15寸超低频音箱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PD-S15</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2077085</wp:posOffset>
            </wp:positionH>
            <wp:positionV relativeFrom="paragraph">
              <wp:posOffset>195580</wp:posOffset>
            </wp:positionV>
            <wp:extent cx="1440180" cy="1926590"/>
            <wp:effectExtent l="0" t="0" r="7620" b="6985"/>
            <wp:wrapSquare wrapText="bothSides"/>
            <wp:docPr id="62" name="图片 62" descr="TS13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TS138 (2)"/>
                    <pic:cNvPicPr>
                      <a:picLocks noChangeAspect="1"/>
                    </pic:cNvPicPr>
                  </pic:nvPicPr>
                  <pic:blipFill>
                    <a:blip r:embed="rId6"/>
                    <a:stretch>
                      <a:fillRect/>
                    </a:stretch>
                  </pic:blipFill>
                  <pic:spPr>
                    <a:xfrm>
                      <a:off x="0" y="0"/>
                      <a:ext cx="1440180" cy="192659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PD-S15是一只高性能大功率的专业超低频扬声器，采用直接发射式结构，配合号角加载倒相管设计，提高了整体的灵敏度，配置一个大功率的100mm音圈的铁氧体低音驱动单元。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PD-S15配置2个木制把手，符合人体力学要求，方便提取。背部内嵌式接线板，可以将扬声器紧贴墙壁安放，有效的节省了放置空间的同时也改善了低频的效率。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PD-S15箱体内部的声学设计，具备良好的频率和相位响应，音质纯净、强劲有力。适合各种类型的音乐应用。 推荐使用T系列全频扬声器作为全套扩声系统使用。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1x15inch(380mm) 大功率低音单元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分频模式：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有源分频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箱体：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号角加载式直接反射箱体， 优质18毫米多层夹板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表面喷涂高强度保护漆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两个木制把手和一个35毫米支撑底座</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大功率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高声压输出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号角加载直接反射式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4inch (100mm)耐高温音圈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220mm </w:t>
      </w:r>
      <w:r>
        <w:rPr>
          <w:rFonts w:hint="eastAsia" w:ascii="微软雅黑" w:hAnsi="微软雅黑" w:eastAsia="微软雅黑" w:cs="微软雅黑"/>
          <w:kern w:val="2"/>
          <w:sz w:val="24"/>
          <w:szCs w:val="24"/>
          <w:lang w:val="en-US" w:eastAsia="zh-CN" w:bidi="ar-SA"/>
        </w:rPr>
        <w:t xml:space="preserve">铁氧体磁体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35</w:t>
      </w:r>
      <w:r>
        <w:rPr>
          <w:rFonts w:hint="eastAsia" w:ascii="微软雅黑" w:hAnsi="微软雅黑" w:eastAsia="微软雅黑" w:cs="微软雅黑"/>
          <w:kern w:val="2"/>
          <w:sz w:val="24"/>
          <w:szCs w:val="24"/>
          <w:lang w:val="en-US" w:eastAsia="zh-CN" w:bidi="ar-SA"/>
        </w:rPr>
        <w:t xml:space="preserve">毫米支撑底座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两侧各一个木制把手 </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3"/>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133"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18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cstheme="minorEastAsia"/>
                <w:b/>
                <w:sz w:val="20"/>
                <w:szCs w:val="20"/>
                <w:lang w:val="en-US" w:eastAsia="zh-CN"/>
              </w:rPr>
              <w:t xml:space="preserve"> </w:t>
            </w:r>
            <w:r>
              <w:rPr>
                <w:rFonts w:hint="eastAsia" w:asciiTheme="minorEastAsia" w:hAnsiTheme="minorEastAsia" w:eastAsiaTheme="minorEastAsia" w:cstheme="minorEastAsia"/>
                <w:b/>
                <w:sz w:val="20"/>
                <w:szCs w:val="20"/>
                <w:lang w:val="en-US" w:eastAsia="zh-CN"/>
              </w:rPr>
              <w:t>PD</w:t>
            </w:r>
            <w:r>
              <w:rPr>
                <w:rFonts w:hint="eastAsia" w:asciiTheme="minorEastAsia" w:hAnsiTheme="minorEastAsia" w:cstheme="minorEastAsia"/>
                <w:b/>
                <w:sz w:val="20"/>
                <w:szCs w:val="20"/>
                <w:lang w:val="en-US" w:eastAsia="zh-CN"/>
              </w:rPr>
              <w:t>-S15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轴向频率响应</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42Hz-280Hz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灵敏度（1米/1瓦,f&gt;100Hz）</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97dB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额定最大声压级</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峰值最大声压级</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标称阻抗</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500W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2000W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驱动器配置</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1x15”LF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箱体构成</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450*475*700mm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jc w:val="center"/>
        </w:trPr>
        <w:tc>
          <w:tcPr>
            <w:tcW w:w="3133"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618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35kg</w:t>
            </w:r>
          </w:p>
        </w:tc>
      </w:tr>
    </w:tbl>
    <w:p>
      <w:pPr>
        <w:pStyle w:val="2"/>
        <w:rPr>
          <w:rFonts w:hint="eastAsia"/>
          <w:lang w:val="en-US" w:eastAsia="zh-CN"/>
        </w:rPr>
      </w:pPr>
    </w:p>
    <w:p>
      <w:pPr>
        <w:pStyle w:val="2"/>
        <w:rPr>
          <w:rFonts w:hint="eastAsia"/>
          <w:lang w:val="en-US" w:eastAsia="zh-CN"/>
        </w:rPr>
      </w:pPr>
      <w:bookmarkStart w:id="1" w:name="_GoBack"/>
      <w:bookmarkEnd w:id="1"/>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四、尺寸图</w:t>
      </w:r>
    </w:p>
    <w:p>
      <w:pPr>
        <w:pStyle w:val="2"/>
        <w:rPr>
          <w:rFonts w:hint="eastAsia"/>
          <w:lang w:val="en-US" w:eastAsia="zh-CN"/>
        </w:rPr>
      </w:pPr>
    </w:p>
    <w:p>
      <w:pPr>
        <w:pStyle w:val="2"/>
      </w:pPr>
    </w:p>
    <w:p>
      <w:pPr>
        <w:pStyle w:val="2"/>
        <w:jc w:val="center"/>
      </w:pPr>
      <w:r>
        <w:drawing>
          <wp:inline distT="0" distB="0" distL="114300" distR="114300">
            <wp:extent cx="3615690" cy="532447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15690" cy="5324475"/>
                    </a:xfrm>
                    <a:prstGeom prst="rect">
                      <a:avLst/>
                    </a:prstGeom>
                    <a:noFill/>
                    <a:ln>
                      <a:noFill/>
                    </a:ln>
                  </pic:spPr>
                </pic:pic>
              </a:graphicData>
            </a:graphic>
          </wp:inline>
        </w:drawing>
      </w: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2FE64A3"/>
    <w:rsid w:val="035241C7"/>
    <w:rsid w:val="04B213C1"/>
    <w:rsid w:val="057E74F5"/>
    <w:rsid w:val="05A131E3"/>
    <w:rsid w:val="06684170"/>
    <w:rsid w:val="0A9F4195"/>
    <w:rsid w:val="0B6D6042"/>
    <w:rsid w:val="0BDF28A6"/>
    <w:rsid w:val="0CF32576"/>
    <w:rsid w:val="0D224E4F"/>
    <w:rsid w:val="0F2B3991"/>
    <w:rsid w:val="0F621021"/>
    <w:rsid w:val="101C440E"/>
    <w:rsid w:val="10234F21"/>
    <w:rsid w:val="114C66F9"/>
    <w:rsid w:val="114E06C3"/>
    <w:rsid w:val="119C02A6"/>
    <w:rsid w:val="11C91AF8"/>
    <w:rsid w:val="12136E6C"/>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295AD7"/>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3F7D70E2"/>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1153</Words>
  <Characters>1282</Characters>
  <Lines>6</Lines>
  <Paragraphs>1</Paragraphs>
  <TotalTime>1</TotalTime>
  <ScaleCrop>false</ScaleCrop>
  <LinksUpToDate>false</LinksUpToDate>
  <CharactersWithSpaces>1285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2022-12-08T02:59:39Z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980AFDB787BE4B7CA272B7A08522A091</vt:lpwstr>
  </property>
</Properties>
</file>