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双12寸垂直线性声源阵列音箱</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DLS-212</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w:t>
      </w:r>
      <w:r>
        <w:rPr>
          <w:rFonts w:hint="eastAsia" w:ascii="微软雅黑" w:hAnsi="微软雅黑" w:eastAsia="微软雅黑" w:cs="微软雅黑"/>
          <w:sz w:val="24"/>
          <w:szCs w:val="24"/>
          <w:highlight w:val="none"/>
        </w:rPr>
        <w:t>体技术有限公司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bookmarkStart w:id="1" w:name="_GoBack"/>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bookmarkEnd w:id="1"/>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产品外观及说明</w:t>
      </w:r>
    </w:p>
    <w:p>
      <w:pPr>
        <w:pStyle w:val="2"/>
        <w:rPr>
          <w:rFonts w:hint="eastAsia"/>
          <w:lang w:val="en-US" w:eastAsia="zh-CN"/>
        </w:rPr>
      </w:pPr>
    </w:p>
    <w:p>
      <w:pPr>
        <w:pStyle w:val="2"/>
        <w:tabs>
          <w:tab w:val="left" w:pos="3422"/>
        </w:tabs>
        <w:jc w:val="center"/>
        <w:rPr>
          <w:rFonts w:hint="eastAsia"/>
          <w:lang w:val="en-US" w:eastAsia="zh-CN"/>
        </w:rPr>
      </w:pPr>
      <w:r>
        <w:drawing>
          <wp:inline distT="0" distB="0" distL="114300" distR="114300">
            <wp:extent cx="2675890" cy="1965960"/>
            <wp:effectExtent l="0" t="0" r="635"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2675890" cy="1965960"/>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DLS-212是一款2路3分频设计的大型线性声源阵列音箱，完全按照线性声源的最新理论设计，每个音箱由2个功率达到50W，63mm音圈的钕铁硼高音驱动器和2个功率达到250W，65mm音圈的钕铁硼中音驱动单元及2个功率达到350的钕铁硼低音驱动器组成。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高频部分由2个重量轻而且灵敏度极高的高音驱动器配合专用的声波修正模块组合成而成，使得整个高频的波形偏离角控制在极低的范围，有效提升高频的上限耦合频率。高频的垂直覆盖角度按照其偏离角的设计准则设计成10度，有效避免了每个模块之间出现声干涉现象。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角度步进设置为1º，调节范围1º-10º。中频部分由两只高灵敏度的10寸单元驱动，两个单元安装的位置距离非常之小，并且采用密闭式箱体结构，使得其达到非常高的灵敏度，而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且采用了专利的等径技术，使得高频及中频的传输路径一致，达至良好的相位响应。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低频部分采用2只12寸单元以Tapped Horn结构安装，拥有了非常高的灵敏度，同时利用气流作用对中频和低频单元进行有效的散热。</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由于采用了2路3分频的双16欧设计，也为功放的配置提供极大的方便，只需要一台2通道的功率放大器，即可以驱动4只DLS-212音箱，组成一个基本的阵列形式。DLS-212音箱带有一体化铝合金快速吊挂系统，配套快速插销，能在极短的时间内搭建出一整套阵列系统。 </w:t>
      </w:r>
    </w:p>
    <w:p>
      <w:pPr>
        <w:pStyle w:val="2"/>
        <w:rPr>
          <w:rFonts w:hint="eastAsia"/>
          <w:lang w:val="en-US" w:eastAsia="zh-CN"/>
        </w:rPr>
      </w:pPr>
    </w:p>
    <w:p>
      <w:pPr>
        <w:pStyle w:val="2"/>
        <w:rPr>
          <w:rFonts w:hint="eastAsia"/>
          <w:lang w:val="en-US" w:eastAsia="zh-CN"/>
        </w:rPr>
      </w:pPr>
    </w:p>
    <w:p>
      <w:pPr>
        <w:pStyle w:val="2"/>
        <w:numPr>
          <w:ilvl w:val="0"/>
          <w:numId w:val="1"/>
        </w:numPr>
        <w:ind w:left="0" w:leftChars="0" w:firstLine="0" w:firstLineChars="0"/>
        <w:outlineLvl w:val="0"/>
        <w:rPr>
          <w:rFonts w:hint="eastAsia"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产品特点</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真正线性声源扬声器系统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符合WST技术要求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两个平面波转换器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外置式两路三分频设计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水平80度覆盖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铝合金吊挂系统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 xml:space="preserve">中频驱动器散热装置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60" w:lineRule="auto"/>
        <w:ind w:left="420" w:leftChars="0"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231F20"/>
          <w:kern w:val="0"/>
          <w:sz w:val="24"/>
          <w:szCs w:val="24"/>
          <w:lang w:val="en-US" w:eastAsia="zh-CN" w:bidi="ar"/>
        </w:rPr>
        <w:t>适合作中远距离投射使用</w:t>
      </w:r>
    </w:p>
    <w:p>
      <w:pPr>
        <w:pStyle w:val="2"/>
        <w:numPr>
          <w:ilvl w:val="0"/>
          <w:numId w:val="0"/>
        </w:numPr>
        <w:ind w:leftChars="0"/>
        <w:rPr>
          <w:rFonts w:hint="default" w:ascii="微软雅黑" w:hAnsi="微软雅黑" w:eastAsia="微软雅黑" w:cs="微软雅黑"/>
          <w:b/>
          <w:bCs/>
          <w:color w:val="auto"/>
          <w:kern w:val="2"/>
          <w:sz w:val="36"/>
          <w:szCs w:val="36"/>
          <w:lang w:val="en-US" w:eastAsia="zh-CN" w:bidi="ar-SA"/>
        </w:rPr>
      </w:pPr>
    </w:p>
    <w:p>
      <w:pPr>
        <w:pStyle w:val="2"/>
        <w:numPr>
          <w:ilvl w:val="0"/>
          <w:numId w:val="0"/>
        </w:numPr>
        <w:ind w:leftChars="0"/>
        <w:rPr>
          <w:rFonts w:hint="default" w:ascii="微软雅黑" w:hAnsi="微软雅黑" w:eastAsia="微软雅黑" w:cs="微软雅黑"/>
          <w:b/>
          <w:bCs/>
          <w:color w:val="auto"/>
          <w:kern w:val="2"/>
          <w:sz w:val="36"/>
          <w:szCs w:val="36"/>
          <w:lang w:val="en-US" w:eastAsia="zh-CN" w:bidi="ar-SA"/>
        </w:rPr>
      </w:pPr>
    </w:p>
    <w:p>
      <w:pPr>
        <w:pStyle w:val="2"/>
        <w:numPr>
          <w:ilvl w:val="0"/>
          <w:numId w:val="0"/>
        </w:numPr>
        <w:ind w:leftChars="0"/>
        <w:rPr>
          <w:rFonts w:hint="default" w:ascii="微软雅黑" w:hAnsi="微软雅黑" w:eastAsia="微软雅黑" w:cs="微软雅黑"/>
          <w:b/>
          <w:bCs/>
          <w:color w:val="auto"/>
          <w:kern w:val="2"/>
          <w:sz w:val="36"/>
          <w:szCs w:val="36"/>
          <w:lang w:val="en-US" w:eastAsia="zh-CN" w:bidi="ar-SA"/>
        </w:rPr>
      </w:pPr>
    </w:p>
    <w:p>
      <w:pPr>
        <w:pStyle w:val="2"/>
        <w:numPr>
          <w:ilvl w:val="0"/>
          <w:numId w:val="0"/>
        </w:numPr>
        <w:ind w:leftChars="0"/>
        <w:rPr>
          <w:rFonts w:hint="default" w:ascii="微软雅黑" w:hAnsi="微软雅黑" w:eastAsia="微软雅黑" w:cs="微软雅黑"/>
          <w:b/>
          <w:bCs/>
          <w:color w:val="auto"/>
          <w:kern w:val="2"/>
          <w:sz w:val="36"/>
          <w:szCs w:val="36"/>
          <w:lang w:val="en-US" w:eastAsia="zh-CN" w:bidi="ar-SA"/>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tbl>
      <w:tblPr>
        <w:tblStyle w:val="14"/>
        <w:tblpPr w:leftFromText="180" w:rightFromText="180" w:vertAnchor="text" w:horzAnchor="page" w:tblpX="1709" w:tblpY="929"/>
        <w:tblOverlap w:val="never"/>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0"/>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3280"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5579"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sz w:val="20"/>
                <w:szCs w:val="20"/>
                <w:lang w:val="en-US" w:eastAsia="zh-CN"/>
              </w:rPr>
            </w:pPr>
            <w:r>
              <w:rPr>
                <w:rFonts w:hint="eastAsia" w:asciiTheme="minorEastAsia" w:hAnsiTheme="minorEastAsia" w:cstheme="minorEastAsia"/>
                <w:b/>
                <w:sz w:val="20"/>
                <w:szCs w:val="20"/>
                <w:lang w:val="en-US" w:eastAsia="zh-CN"/>
              </w:rPr>
              <w:t xml:space="preserve"> DLS-212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轴向频率响应</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80Hz-16kHz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1"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灵敏度（1米/1瓦,f&gt;100Hz）</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LF-100dB，HF-102dB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长期最大声压级</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128/129dB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峰值最大声压级</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134/135dB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标称阻抗</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16+16 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指向性</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80x1-10度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额定功率</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700+500W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节目功率</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1400+1000W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峰值功率</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2800+2000W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驱动器配置</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2x1.4"HF+2x10"MF+2x12”LF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箱体构成</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外形尺寸（深*宽*高）</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550*960*340mm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7" w:hRule="atLeast"/>
        </w:trPr>
        <w:tc>
          <w:tcPr>
            <w:tcW w:w="3280"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重量</w:t>
            </w:r>
          </w:p>
        </w:tc>
        <w:tc>
          <w:tcPr>
            <w:tcW w:w="5579"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60kg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0"/>
        </w:numPr>
        <w:ind w:leftChars="0"/>
        <w:outlineLvl w:val="9"/>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outlineLvl w:val="9"/>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outlineLvl w:val="9"/>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outlineLvl w:val="9"/>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outlineLvl w:val="9"/>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outlineLvl w:val="9"/>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outlineLvl w:val="9"/>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outlineLvl w:val="9"/>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outlineLvl w:val="9"/>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outlineLvl w:val="9"/>
        <w:rPr>
          <w:rFonts w:hint="eastAsia" w:ascii="微软雅黑" w:hAnsi="微软雅黑" w:eastAsia="微软雅黑" w:cs="微软雅黑"/>
          <w:b/>
          <w:bCs/>
          <w:color w:val="auto"/>
          <w:kern w:val="2"/>
          <w:sz w:val="36"/>
          <w:szCs w:val="36"/>
          <w:lang w:val="en-US" w:eastAsia="zh-CN" w:bidi="ar-SA"/>
        </w:rPr>
      </w:pPr>
    </w:p>
    <w:p>
      <w:pPr>
        <w:pStyle w:val="2"/>
        <w:numPr>
          <w:ilvl w:val="0"/>
          <w:numId w:val="0"/>
        </w:numPr>
        <w:ind w:leftChars="0"/>
        <w:outlineLvl w:val="0"/>
        <w:rPr>
          <w:rFonts w:hint="eastAsia"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四、尺寸图和配件图</w:t>
      </w:r>
    </w:p>
    <w:p>
      <w:pPr>
        <w:pStyle w:val="2"/>
        <w:numPr>
          <w:ilvl w:val="0"/>
          <w:numId w:val="0"/>
        </w:numPr>
        <w:ind w:leftChars="0"/>
        <w:jc w:val="center"/>
        <w:rPr>
          <w:rFonts w:hint="default" w:ascii="微软雅黑" w:hAnsi="微软雅黑" w:eastAsia="微软雅黑" w:cs="微软雅黑"/>
          <w:b/>
          <w:bCs/>
          <w:color w:val="auto"/>
          <w:kern w:val="2"/>
          <w:sz w:val="36"/>
          <w:szCs w:val="36"/>
          <w:lang w:val="en-US" w:eastAsia="zh-CN" w:bidi="ar-SA"/>
        </w:rPr>
      </w:pPr>
      <w:r>
        <w:drawing>
          <wp:inline distT="0" distB="0" distL="114300" distR="114300">
            <wp:extent cx="2914015" cy="4334510"/>
            <wp:effectExtent l="0" t="0" r="635" b="889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2914015" cy="4334510"/>
                    </a:xfrm>
                    <a:prstGeom prst="rect">
                      <a:avLst/>
                    </a:prstGeom>
                    <a:noFill/>
                    <a:ln>
                      <a:noFill/>
                    </a:ln>
                  </pic:spPr>
                </pic:pic>
              </a:graphicData>
            </a:graphic>
          </wp:inline>
        </w:drawing>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49668E3"/>
    <w:multiLevelType w:val="singleLevel"/>
    <w:tmpl w:val="649668E3"/>
    <w:lvl w:ilvl="0" w:tentative="0">
      <w:start w:val="1"/>
      <w:numFmt w:val="bullet"/>
      <w:lvlText w:val=""/>
      <w:lvlJc w:val="left"/>
      <w:pPr>
        <w:ind w:left="420" w:hanging="420"/>
      </w:pPr>
      <w:rPr>
        <w:rFonts w:hint="default" w:ascii="Wingdings" w:hAnsi="Wingdings"/>
      </w:rPr>
    </w:lvl>
  </w:abstractNum>
  <w:abstractNum w:abstractNumId="2">
    <w:nsid w:val="6736A51D"/>
    <w:multiLevelType w:val="singleLevel"/>
    <w:tmpl w:val="6736A51D"/>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84C35CF"/>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1F4D16AB"/>
    <w:rsid w:val="207F7B8E"/>
    <w:rsid w:val="21F11323"/>
    <w:rsid w:val="22EA5D72"/>
    <w:rsid w:val="24561911"/>
    <w:rsid w:val="25800FD6"/>
    <w:rsid w:val="25D30D3F"/>
    <w:rsid w:val="26913D65"/>
    <w:rsid w:val="26A34BB6"/>
    <w:rsid w:val="2A6428AE"/>
    <w:rsid w:val="2AF857D5"/>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B37E7"/>
    <w:rsid w:val="449F6565"/>
    <w:rsid w:val="45E5269D"/>
    <w:rsid w:val="4C1B2975"/>
    <w:rsid w:val="4C8F39B5"/>
    <w:rsid w:val="4CEF01B5"/>
    <w:rsid w:val="4D044FA2"/>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DC63944"/>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1336</Words>
  <Characters>1539</Characters>
  <Lines>6</Lines>
  <Paragraphs>1</Paragraphs>
  <TotalTime>3</TotalTime>
  <ScaleCrop>false</ScaleCrop>
  <LinksUpToDate>false</LinksUpToDate>
  <CharactersWithSpaces>1555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2022-12-13T08:17:10Z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C937CD228C914DE09B9D388D4ACA53C4</vt:lpwstr>
  </property>
</Properties>
</file>