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有源线性音柱扬声器</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CL-245A</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w:t>
      </w:r>
      <w:r>
        <w:rPr>
          <w:rFonts w:hint="eastAsia" w:ascii="微软雅黑" w:hAnsi="微软雅黑" w:eastAsia="微软雅黑" w:cs="微软雅黑"/>
          <w:sz w:val="24"/>
          <w:szCs w:val="24"/>
          <w:highlight w:val="none"/>
        </w:rPr>
        <w:t>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2638425</wp:posOffset>
            </wp:positionH>
            <wp:positionV relativeFrom="paragraph">
              <wp:posOffset>41910</wp:posOffset>
            </wp:positionV>
            <wp:extent cx="1089025" cy="2360930"/>
            <wp:effectExtent l="0" t="0" r="0" b="0"/>
            <wp:wrapSquare wrapText="bothSides"/>
            <wp:docPr id="2" name="object 8" descr="/Users/ousei/Desktop/DynePro 系列产品资料2021Q3/专业音频扩声/产品图片/CL系列/CL-245A.pngCL-245A"/>
            <wp:cNvGraphicFramePr/>
            <a:graphic xmlns:a="http://schemas.openxmlformats.org/drawingml/2006/main">
              <a:graphicData uri="http://schemas.openxmlformats.org/drawingml/2006/picture">
                <pic:pic xmlns:pic="http://schemas.openxmlformats.org/drawingml/2006/picture">
                  <pic:nvPicPr>
                    <pic:cNvPr id="2" name="object 8" descr="/Users/ousei/Desktop/DynePro 系列产品资料2021Q3/专业音频扩声/产品图片/CL系列/CL-245A.pngCL-245A"/>
                    <pic:cNvPicPr/>
                  </pic:nvPicPr>
                  <pic:blipFill>
                    <a:blip r:embed="rId6"/>
                    <a:srcRect/>
                    <a:stretch>
                      <a:fillRect/>
                    </a:stretch>
                  </pic:blipFill>
                  <pic:spPr>
                    <a:xfrm>
                      <a:off x="0" y="0"/>
                      <a:ext cx="1089025" cy="2360930"/>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该款线性柱式扬声器紧凑美观，为固定安装而设计，适用于会议室、培训室、电教室、背景音乐等多种应用场景。扬声器内置数字功率放大器模块以及DSP、选配Dante网络卡，可以实现包括增益调节、相位、噪声门、PEQ、高低通滤波器、延时器、限幅器等处理功能，通过标准以太网与网络音频处理器或第三方Dante设备之间实现互联，传输远距离高品质低延时音频信号。通过专用软件可以远程在线监测扬声器内置功放状态、DSP参数调节、远程唤醒或待机控制。</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p>
    <w:p>
      <w:pPr>
        <w:pStyle w:val="2"/>
        <w:rPr>
          <w:rFonts w:hint="eastAsia"/>
          <w:lang w:val="en-US" w:eastAsia="zh-CN"/>
        </w:rPr>
      </w:pPr>
    </w:p>
    <w:p>
      <w:pPr>
        <w:pStyle w:val="2"/>
        <w:rPr>
          <w:rFonts w:hint="eastAsia"/>
          <w:lang w:val="en-US" w:eastAsia="zh-CN"/>
        </w:rPr>
      </w:pPr>
    </w:p>
    <w:tbl>
      <w:tblPr>
        <w:tblStyle w:val="14"/>
        <w:tblW w:w="73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3235"/>
        <w:gridCol w:w="40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额定功率                                                                          </w:t>
            </w:r>
          </w:p>
        </w:tc>
        <w:tc>
          <w:tcPr>
            <w:tcW w:w="4068" w:type="dxa"/>
            <w:vAlign w:val="center"/>
          </w:tcPr>
          <w:p>
            <w:pPr>
              <w:ind w:left="0" w:leftChars="0" w:right="0" w:rightChars="0"/>
              <w:jc w:val="center"/>
              <w:rPr>
                <w:rFonts w:hint="eastAsia" w:asciiTheme="minorEastAsia" w:hAnsiTheme="minorEastAsia" w:eastAsiaTheme="minorEastAsia" w:cstheme="minorEastAsia"/>
                <w:w w:val="105"/>
                <w:sz w:val="20"/>
                <w:szCs w:val="20"/>
              </w:rPr>
            </w:pPr>
            <w:r>
              <w:rPr>
                <w:rFonts w:hint="eastAsia" w:asciiTheme="minorEastAsia" w:hAnsiTheme="minorEastAsia" w:eastAsiaTheme="minorEastAsia" w:cstheme="minorEastAsia"/>
                <w:sz w:val="20"/>
                <w:szCs w:val="20"/>
              </w:rPr>
              <w:t xml:space="preserve">150W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节目功率                                                                            </w:t>
            </w:r>
          </w:p>
        </w:tc>
        <w:tc>
          <w:tcPr>
            <w:tcW w:w="4068" w:type="dxa"/>
            <w:vAlign w:val="center"/>
          </w:tcPr>
          <w:p>
            <w:pPr>
              <w:ind w:left="0" w:leftChars="0" w:right="0" w:rightChars="0"/>
              <w:jc w:val="center"/>
              <w:rPr>
                <w:rFonts w:hint="eastAsia" w:asciiTheme="minorEastAsia" w:hAnsiTheme="minorEastAsia" w:eastAsiaTheme="minorEastAsia" w:cstheme="minorEastAsia"/>
                <w:w w:val="105"/>
                <w:sz w:val="20"/>
                <w:szCs w:val="20"/>
              </w:rPr>
            </w:pPr>
            <w:r>
              <w:rPr>
                <w:rFonts w:hint="eastAsia" w:asciiTheme="minorEastAsia" w:hAnsiTheme="minorEastAsia" w:eastAsiaTheme="minorEastAsia" w:cstheme="minorEastAsia"/>
                <w:sz w:val="20"/>
                <w:szCs w:val="20"/>
              </w:rPr>
              <w:t xml:space="preserve">300W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峰值功率                                    </w:t>
            </w:r>
          </w:p>
        </w:tc>
        <w:tc>
          <w:tcPr>
            <w:tcW w:w="4068" w:type="dxa"/>
            <w:vAlign w:val="center"/>
          </w:tcPr>
          <w:p>
            <w:pPr>
              <w:ind w:left="0" w:leftChars="0" w:right="0" w:rightChars="0"/>
              <w:jc w:val="center"/>
              <w:rPr>
                <w:rFonts w:hint="eastAsia" w:asciiTheme="minorEastAsia" w:hAnsiTheme="minorEastAsia" w:eastAsiaTheme="minorEastAsia" w:cstheme="minorEastAsia"/>
                <w:w w:val="105"/>
                <w:sz w:val="20"/>
                <w:szCs w:val="20"/>
              </w:rPr>
            </w:pPr>
            <w:r>
              <w:rPr>
                <w:rFonts w:hint="eastAsia" w:asciiTheme="minorEastAsia" w:hAnsiTheme="minorEastAsia" w:eastAsiaTheme="minorEastAsia" w:cstheme="minorEastAsia"/>
                <w:sz w:val="20"/>
                <w:szCs w:val="20"/>
              </w:rPr>
              <w:t xml:space="preserve">600W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spacing w:before="1" w:line="240" w:lineRule="auto"/>
              <w:ind w:left="437" w:right="424"/>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水平覆盖                                  </w:t>
            </w:r>
          </w:p>
        </w:tc>
        <w:tc>
          <w:tcPr>
            <w:tcW w:w="4068" w:type="dxa"/>
            <w:vAlign w:val="center"/>
          </w:tcPr>
          <w:p>
            <w:pPr>
              <w:spacing w:before="9" w:line="240" w:lineRule="auto"/>
              <w:ind w:left="0" w:lef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垂直覆盖              </w:t>
            </w:r>
          </w:p>
        </w:tc>
        <w:tc>
          <w:tcPr>
            <w:tcW w:w="4068" w:type="dxa"/>
            <w:vAlign w:val="center"/>
          </w:tcPr>
          <w:p>
            <w:pPr>
              <w:ind w:left="0" w:leftChars="0" w:right="0" w:rightChars="0"/>
              <w:jc w:val="center"/>
              <w:rPr>
                <w:rFonts w:hint="eastAsia" w:asciiTheme="minorEastAsia" w:hAnsiTheme="minorEastAsia" w:eastAsiaTheme="minorEastAsia" w:cstheme="minorEastAsia"/>
                <w:w w:val="105"/>
                <w:sz w:val="20"/>
                <w:szCs w:val="20"/>
              </w:rPr>
            </w:pPr>
            <w:r>
              <w:rPr>
                <w:rFonts w:hint="eastAsia" w:asciiTheme="minorEastAsia" w:hAnsiTheme="minorEastAsia" w:eastAsiaTheme="minorEastAsia" w:cstheme="minorEastAsia"/>
                <w:sz w:val="20"/>
                <w:szCs w:val="20"/>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高频配置     </w:t>
            </w:r>
          </w:p>
        </w:tc>
        <w:tc>
          <w:tcPr>
            <w:tcW w:w="4068" w:type="dxa"/>
            <w:vAlign w:val="center"/>
          </w:tcPr>
          <w:p>
            <w:pPr>
              <w:ind w:left="0" w:leftChars="0" w:right="0" w:rightChars="0"/>
              <w:jc w:val="center"/>
              <w:rPr>
                <w:rFonts w:hint="eastAsia" w:asciiTheme="minorEastAsia" w:hAnsiTheme="minorEastAsia" w:eastAsiaTheme="minorEastAsia" w:cstheme="minorEastAsia"/>
                <w:w w:val="105"/>
                <w:sz w:val="20"/>
                <w:szCs w:val="20"/>
              </w:rPr>
            </w:pPr>
            <w:r>
              <w:rPr>
                <w:rFonts w:hint="eastAsia" w:asciiTheme="minorEastAsia" w:hAnsiTheme="minorEastAsia" w:eastAsiaTheme="minorEastAsia" w:cstheme="minorEastAsia"/>
                <w:sz w:val="20"/>
                <w:szCs w:val="20"/>
              </w:rPr>
              <w:t xml:space="preserve">1”×1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spacing w:line="276" w:lineRule="exact"/>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低音配置                                        </w:t>
            </w:r>
          </w:p>
        </w:tc>
        <w:tc>
          <w:tcPr>
            <w:tcW w:w="4068"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4.5”×2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spacing w:line="276" w:lineRule="exact"/>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灵敏度</w:t>
            </w:r>
          </w:p>
        </w:tc>
        <w:tc>
          <w:tcPr>
            <w:tcW w:w="4068" w:type="dxa"/>
            <w:vAlign w:val="center"/>
          </w:tcPr>
          <w:p>
            <w:pPr>
              <w:ind w:left="0" w:leftChars="0" w:right="0" w:rightChars="0"/>
              <w:jc w:val="center"/>
              <w:rPr>
                <w:rFonts w:hint="eastAsia" w:asciiTheme="minorEastAsia" w:hAnsiTheme="minorEastAsia" w:eastAsiaTheme="minorEastAsia" w:cstheme="minorEastAsia"/>
                <w:color w:val="000006"/>
                <w:w w:val="105"/>
                <w:sz w:val="20"/>
                <w:szCs w:val="20"/>
              </w:rPr>
            </w:pPr>
            <w:r>
              <w:rPr>
                <w:rFonts w:hint="eastAsia" w:asciiTheme="minorEastAsia" w:hAnsiTheme="minorEastAsia" w:eastAsiaTheme="minorEastAsia" w:cstheme="minorEastAsia"/>
                <w:sz w:val="20"/>
                <w:szCs w:val="20"/>
              </w:rPr>
              <w:t>90dB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最大声压级           </w:t>
            </w:r>
          </w:p>
        </w:tc>
        <w:tc>
          <w:tcPr>
            <w:tcW w:w="4068"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113dB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频率范围   </w:t>
            </w:r>
          </w:p>
        </w:tc>
        <w:tc>
          <w:tcPr>
            <w:tcW w:w="4068" w:type="dxa"/>
            <w:vAlign w:val="center"/>
          </w:tcPr>
          <w:p>
            <w:pPr>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sz w:val="20"/>
                <w:szCs w:val="20"/>
              </w:rPr>
              <w:t xml:space="preserve">55Hz-20KHz(±3dB)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功放类型                             </w:t>
            </w:r>
          </w:p>
        </w:tc>
        <w:tc>
          <w:tcPr>
            <w:tcW w:w="4068" w:type="dxa"/>
            <w:vAlign w:val="center"/>
          </w:tcPr>
          <w:p>
            <w:pPr>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sz w:val="20"/>
                <w:szCs w:val="20"/>
              </w:rPr>
              <w:t xml:space="preserve">D类功放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功放模块峰值功率                         </w:t>
            </w:r>
          </w:p>
        </w:tc>
        <w:tc>
          <w:tcPr>
            <w:tcW w:w="4068"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1000W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总谐波失真                         </w:t>
            </w:r>
          </w:p>
        </w:tc>
        <w:tc>
          <w:tcPr>
            <w:tcW w:w="4068"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0.15% @ 1.5W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阻尼系数                     </w:t>
            </w:r>
          </w:p>
        </w:tc>
        <w:tc>
          <w:tcPr>
            <w:tcW w:w="4068"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＞600@8Ω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输入阻抗                                  </w:t>
            </w:r>
          </w:p>
        </w:tc>
        <w:tc>
          <w:tcPr>
            <w:tcW w:w="4068"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20K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jc w:val="center"/>
        </w:trPr>
        <w:tc>
          <w:tcPr>
            <w:tcW w:w="3235"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输出阻抗                                                                          </w:t>
            </w:r>
          </w:p>
        </w:tc>
        <w:tc>
          <w:tcPr>
            <w:tcW w:w="4068"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8Ω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ind w:left="436" w:right="425"/>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输入灵敏度</w:t>
            </w:r>
          </w:p>
        </w:tc>
        <w:tc>
          <w:tcPr>
            <w:tcW w:w="4068" w:type="dxa"/>
            <w:vAlign w:val="center"/>
          </w:tcPr>
          <w:p>
            <w:pPr>
              <w:jc w:val="center"/>
              <w:rPr>
                <w:rFonts w:hint="eastAsia" w:asciiTheme="minorEastAsia" w:hAnsiTheme="minorEastAsia" w:eastAsiaTheme="minorEastAsia" w:cstheme="minorEastAsia"/>
                <w:w w:val="105"/>
                <w:sz w:val="20"/>
                <w:szCs w:val="20"/>
                <w:lang w:val="en-US" w:eastAsia="zh-CN"/>
              </w:rPr>
            </w:pPr>
            <w:bookmarkStart w:id="1" w:name="_GoBack"/>
            <w:bookmarkEnd w:id="1"/>
            <w:r>
              <w:rPr>
                <w:rFonts w:hint="eastAsia" w:asciiTheme="minorEastAsia" w:hAnsiTheme="minorEastAsia" w:eastAsiaTheme="minorEastAsia" w:cstheme="minorEastAsia"/>
                <w:sz w:val="20"/>
                <w:szCs w:val="20"/>
              </w:rPr>
              <w:t>0.77v-1.5v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jc w:val="center"/>
        </w:trPr>
        <w:tc>
          <w:tcPr>
            <w:tcW w:w="3235" w:type="dxa"/>
            <w:vAlign w:val="center"/>
          </w:tcPr>
          <w:p>
            <w:pPr>
              <w:spacing w:line="273" w:lineRule="exact"/>
              <w:ind w:left="437"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输入接口                    </w:t>
            </w:r>
          </w:p>
        </w:tc>
        <w:tc>
          <w:tcPr>
            <w:tcW w:w="4068" w:type="dxa"/>
            <w:vAlign w:val="center"/>
          </w:tcPr>
          <w:p>
            <w:pPr>
              <w:ind w:left="13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 Dante/网络/模拟/USB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3235"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箱体材料</w:t>
            </w:r>
          </w:p>
        </w:tc>
        <w:tc>
          <w:tcPr>
            <w:tcW w:w="4068" w:type="dxa"/>
            <w:vAlign w:val="center"/>
          </w:tcPr>
          <w:p>
            <w:pPr>
              <w:ind w:left="42"/>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铝合金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3235"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吊挂方式</w:t>
            </w:r>
          </w:p>
        </w:tc>
        <w:tc>
          <w:tcPr>
            <w:tcW w:w="4068" w:type="dxa"/>
            <w:vAlign w:val="center"/>
          </w:tcPr>
          <w:p>
            <w:pPr>
              <w:ind w:left="42"/>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壁挂架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3235"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电    源</w:t>
            </w:r>
          </w:p>
        </w:tc>
        <w:tc>
          <w:tcPr>
            <w:tcW w:w="4068" w:type="dxa"/>
            <w:vAlign w:val="center"/>
          </w:tcPr>
          <w:p>
            <w:pPr>
              <w:ind w:left="42"/>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交流220v （±10%）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3235"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尺寸（宽x高x深 mm） </w:t>
            </w:r>
          </w:p>
        </w:tc>
        <w:tc>
          <w:tcPr>
            <w:tcW w:w="4068" w:type="dxa"/>
            <w:vAlign w:val="center"/>
          </w:tcPr>
          <w:p>
            <w:pPr>
              <w:ind w:left="42"/>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136*645*120mm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3235"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重量</w:t>
            </w:r>
          </w:p>
        </w:tc>
        <w:tc>
          <w:tcPr>
            <w:tcW w:w="4068" w:type="dxa"/>
            <w:vAlign w:val="center"/>
          </w:tcPr>
          <w:p>
            <w:pPr>
              <w:ind w:left="42"/>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5.85KG</w:t>
            </w:r>
          </w:p>
        </w:tc>
      </w:tr>
    </w:tbl>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7AF0572"/>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4D449E"/>
    <w:rsid w:val="39616936"/>
    <w:rsid w:val="3A323E2F"/>
    <w:rsid w:val="3ACA6ACC"/>
    <w:rsid w:val="3C4D4F50"/>
    <w:rsid w:val="3D5F318D"/>
    <w:rsid w:val="3DFC6C2D"/>
    <w:rsid w:val="3DFE0BF8"/>
    <w:rsid w:val="3F163D1F"/>
    <w:rsid w:val="402C30CE"/>
    <w:rsid w:val="40DC4AF4"/>
    <w:rsid w:val="41CE08E1"/>
    <w:rsid w:val="4257174B"/>
    <w:rsid w:val="445F194D"/>
    <w:rsid w:val="449F6565"/>
    <w:rsid w:val="45E5269D"/>
    <w:rsid w:val="4C1B2975"/>
    <w:rsid w:val="4E582F7C"/>
    <w:rsid w:val="4E841B6B"/>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7A223F4"/>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9865576"/>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D4476CE"/>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1090</Words>
  <Characters>1224</Characters>
  <Lines>6</Lines>
  <Paragraphs>1</Paragraphs>
  <TotalTime>1</TotalTime>
  <ScaleCrop>false</ScaleCrop>
  <LinksUpToDate>false</LinksUpToDate>
  <CharactersWithSpaces>2323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2022-12-13T08:22:18Z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061228A9FABA41D1B529AE341F3B91E2</vt:lpwstr>
  </property>
</Properties>
</file>