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firstLine="2601" w:firstLineChars="500"/>
        <w:jc w:val="left"/>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12</w:t>
      </w:r>
      <w:bookmarkStart w:id="1" w:name="_GoBack"/>
      <w:bookmarkEnd w:id="1"/>
      <w:r>
        <w:rPr>
          <w:rFonts w:hint="eastAsia" w:ascii="微软雅黑" w:hAnsi="微软雅黑" w:eastAsia="微软雅黑" w:cstheme="minorBidi"/>
          <w:b/>
          <w:kern w:val="2"/>
          <w:sz w:val="52"/>
          <w:szCs w:val="52"/>
          <w:lang w:val="en-US" w:eastAsia="zh-CN" w:bidi="ar-SA"/>
        </w:rPr>
        <w:t>寸有源全频扬声器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PD-12A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drawing>
          <wp:anchor distT="0" distB="0" distL="114300" distR="114300" simplePos="0" relativeHeight="251659264" behindDoc="0" locked="0" layoutInCell="1" allowOverlap="1">
            <wp:simplePos x="0" y="0"/>
            <wp:positionH relativeFrom="column">
              <wp:posOffset>1800225</wp:posOffset>
            </wp:positionH>
            <wp:positionV relativeFrom="paragraph">
              <wp:posOffset>178435</wp:posOffset>
            </wp:positionV>
            <wp:extent cx="2152650" cy="28384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152650" cy="2838450"/>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 xml:space="preserve">PD-12A是一只紧凑的高性能专业两分频扬声器，采用倒相式箱体及恒指向性号角设计，配置了一个大功率的65mm音圈低音驱动单元及一个34mm音圈的压缩高音驱动器。箱体特别配合单元特性进行优化声学设计，具备良好的频率和相位响应，音质纯净、强劲有力。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PD-12A内置高性能DSP及2x500W Class D 功率放大模块，通过内部高性能DSP进行电子分频处理，组成一个有源两分频系统。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提供双网口，支持双口Dante及TCP/IP共用网口，提供专用管理软件，可以同时管理多台设备。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采用无风扇的静音散热系统，保证高稳定性及可靠性的时候也不会产生额外的噪音。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90x60 度恒指向号角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内置DSP及2x500W功放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彩色点阵显示屏，Dante及模拟双输入接口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TCP/IP，USB，RS485 控制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远程状态检测，实时温度，功率检测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倒相式箱体结构，45度斜角可作舞台返送使用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恒指向号角，可旋转90度安装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default"/>
          <w:lang w:val="en-US" w:eastAsia="zh-CN"/>
        </w:rPr>
      </w:pPr>
      <w:r>
        <w:rPr>
          <w:rFonts w:hint="eastAsia" w:ascii="微软雅黑" w:hAnsi="微软雅黑" w:eastAsia="微软雅黑" w:cs="微软雅黑"/>
          <w:kern w:val="2"/>
          <w:sz w:val="24"/>
          <w:szCs w:val="24"/>
          <w:lang w:val="en-US" w:eastAsia="zh-CN" w:bidi="ar-SA"/>
        </w:rPr>
        <w:t>带标准35mm支撑底座，顶部1个木制挽手</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PD-12A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模拟输入端口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模拟平衡XLR   loop  out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数字输入端口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Dante2xRJ45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显示</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彩色显示屏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控制方式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USB,TCP/IP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输入灵敏度</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70Hz-20kHz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90x60度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最大功率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1x1”HF+1x12”LF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外形尺寸(DxWxH)</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360x360x580mm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23kg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numPr>
          <w:ilvl w:val="0"/>
          <w:numId w:val="0"/>
        </w:numPr>
        <w:ind w:leftChars="0"/>
        <w:jc w:val="center"/>
      </w:pPr>
      <w:r>
        <w:drawing>
          <wp:inline distT="0" distB="0" distL="114300" distR="114300">
            <wp:extent cx="1262380" cy="161925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262380" cy="1619250"/>
                    </a:xfrm>
                    <a:prstGeom prst="rect">
                      <a:avLst/>
                    </a:prstGeom>
                    <a:noFill/>
                    <a:ln>
                      <a:noFill/>
                    </a:ln>
                  </pic:spPr>
                </pic:pic>
              </a:graphicData>
            </a:graphic>
          </wp:inline>
        </w:drawing>
      </w:r>
      <w:r>
        <w:drawing>
          <wp:inline distT="0" distB="0" distL="114300" distR="114300">
            <wp:extent cx="1100455" cy="1485900"/>
            <wp:effectExtent l="0" t="0" r="4445"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1100455" cy="1485900"/>
                    </a:xfrm>
                    <a:prstGeom prst="rect">
                      <a:avLst/>
                    </a:prstGeom>
                    <a:noFill/>
                    <a:ln>
                      <a:noFill/>
                    </a:ln>
                  </pic:spPr>
                </pic:pic>
              </a:graphicData>
            </a:graphic>
          </wp:inline>
        </w:drawing>
      </w:r>
    </w:p>
    <w:p>
      <w:pPr>
        <w:numPr>
          <w:ilvl w:val="0"/>
          <w:numId w:val="0"/>
        </w:numPr>
        <w:ind w:leftChars="0"/>
        <w:jc w:val="center"/>
      </w:pPr>
      <w:r>
        <w:drawing>
          <wp:inline distT="0" distB="0" distL="114300" distR="114300">
            <wp:extent cx="1176655" cy="1167130"/>
            <wp:effectExtent l="0" t="0" r="4445" b="44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1176655" cy="1167130"/>
                    </a:xfrm>
                    <a:prstGeom prst="rect">
                      <a:avLst/>
                    </a:prstGeom>
                    <a:noFill/>
                    <a:ln>
                      <a:noFill/>
                    </a:ln>
                  </pic:spPr>
                </pic:pic>
              </a:graphicData>
            </a:graphic>
          </wp:inline>
        </w:drawing>
      </w:r>
      <w:r>
        <w:drawing>
          <wp:inline distT="0" distB="0" distL="114300" distR="114300">
            <wp:extent cx="1133475" cy="1095375"/>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0"/>
                    <a:stretch>
                      <a:fillRect/>
                    </a:stretch>
                  </pic:blipFill>
                  <pic:spPr>
                    <a:xfrm>
                      <a:off x="0" y="0"/>
                      <a:ext cx="1133475" cy="1095375"/>
                    </a:xfrm>
                    <a:prstGeom prst="rect">
                      <a:avLst/>
                    </a:prstGeom>
                    <a:noFill/>
                    <a:ln>
                      <a:noFill/>
                    </a:ln>
                  </pic:spPr>
                </pic:pic>
              </a:graphicData>
            </a:graphic>
          </wp:inline>
        </w:drawing>
      </w:r>
    </w:p>
    <w:p>
      <w:pPr>
        <w:numPr>
          <w:ilvl w:val="0"/>
          <w:numId w:val="0"/>
        </w:numPr>
        <w:ind w:leftChars="0"/>
        <w:jc w:val="center"/>
        <w:rPr>
          <w:rFonts w:hint="default"/>
          <w:lang w:val="en-US" w:eastAsia="zh-CN"/>
        </w:rPr>
      </w:pPr>
      <w:r>
        <w:drawing>
          <wp:inline distT="0" distB="0" distL="114300" distR="114300">
            <wp:extent cx="1181100" cy="1529080"/>
            <wp:effectExtent l="0" t="0" r="0"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1181100" cy="1529080"/>
                    </a:xfrm>
                    <a:prstGeom prst="rect">
                      <a:avLst/>
                    </a:prstGeom>
                    <a:noFill/>
                    <a:ln>
                      <a:noFill/>
                    </a:ln>
                  </pic:spPr>
                </pic:pic>
              </a:graphicData>
            </a:graphic>
          </wp:inline>
        </w:drawing>
      </w:r>
      <w:r>
        <w:drawing>
          <wp:inline distT="0" distB="0" distL="114300" distR="114300">
            <wp:extent cx="1071880" cy="1514475"/>
            <wp:effectExtent l="0" t="0" r="444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2"/>
                    <a:stretch>
                      <a:fillRect/>
                    </a:stretch>
                  </pic:blipFill>
                  <pic:spPr>
                    <a:xfrm>
                      <a:off x="0" y="0"/>
                      <a:ext cx="1071880" cy="1514475"/>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6BD672C"/>
    <w:rsid w:val="0A9F4195"/>
    <w:rsid w:val="0B6D6042"/>
    <w:rsid w:val="0CF32576"/>
    <w:rsid w:val="0D224E4F"/>
    <w:rsid w:val="0F2B3991"/>
    <w:rsid w:val="0F621021"/>
    <w:rsid w:val="101C440E"/>
    <w:rsid w:val="10234F21"/>
    <w:rsid w:val="114C66F9"/>
    <w:rsid w:val="114E06C3"/>
    <w:rsid w:val="119C02A6"/>
    <w:rsid w:val="11C91AF8"/>
    <w:rsid w:val="13325EA5"/>
    <w:rsid w:val="14787805"/>
    <w:rsid w:val="155508E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07E156A"/>
    <w:rsid w:val="311A1F18"/>
    <w:rsid w:val="315E1E05"/>
    <w:rsid w:val="319620CE"/>
    <w:rsid w:val="33D4745D"/>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76A5288"/>
    <w:rsid w:val="4A905E75"/>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5E427F"/>
    <w:rsid w:val="6C044D7B"/>
    <w:rsid w:val="6C3D0F38"/>
    <w:rsid w:val="6DE035C6"/>
    <w:rsid w:val="6E680AEE"/>
    <w:rsid w:val="6EAD133E"/>
    <w:rsid w:val="6F7C10CD"/>
    <w:rsid w:val="7027728A"/>
    <w:rsid w:val="718A727E"/>
    <w:rsid w:val="72872262"/>
    <w:rsid w:val="746C5BB4"/>
    <w:rsid w:val="74FC0CE6"/>
    <w:rsid w:val="759E7FEF"/>
    <w:rsid w:val="765A3865"/>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1091</Words>
  <Characters>1274</Characters>
  <Lines>6</Lines>
  <Paragraphs>1</Paragraphs>
  <TotalTime>0</TotalTime>
  <ScaleCrop>false</ScaleCrop>
  <LinksUpToDate>false</LinksUpToDate>
  <CharactersWithSpaces>1301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2022-12-20T07:43:16Z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0A388919CF7444559DC908D9B48B1F31</vt:lpwstr>
  </property>
</Properties>
</file>